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63BCD" w14:textId="77777777" w:rsidR="00DC6BF0" w:rsidRDefault="00DC6BF0" w:rsidP="00C4392E">
      <w:pPr>
        <w:jc w:val="center"/>
        <w:rPr>
          <w:b/>
          <w:sz w:val="28"/>
          <w:szCs w:val="28"/>
        </w:rPr>
      </w:pPr>
    </w:p>
    <w:p w14:paraId="495AF984" w14:textId="565EE4A4" w:rsidR="001050EE" w:rsidRPr="00C4392E" w:rsidRDefault="001050EE" w:rsidP="00C4392E">
      <w:pPr>
        <w:jc w:val="center"/>
        <w:rPr>
          <w:b/>
          <w:sz w:val="28"/>
          <w:szCs w:val="28"/>
        </w:rPr>
      </w:pPr>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59C35DAC" w14:textId="13A7EC30"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r w:rsidR="004626CD" w:rsidRPr="004626CD">
        <w:rPr>
          <w:b/>
          <w:sz w:val="28"/>
          <w:szCs w:val="28"/>
        </w:rPr>
        <w:t xml:space="preserve"> </w:t>
      </w:r>
      <w:r w:rsidR="004626CD">
        <w:rPr>
          <w:b/>
          <w:sz w:val="28"/>
          <w:szCs w:val="28"/>
        </w:rPr>
        <w:t>FOR EUROPEAN UNION EXTERNAL ACTIONS</w:t>
      </w:r>
    </w:p>
    <w:p w14:paraId="36ED741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E8C5433" w14:textId="290E5CD5"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w:t>
      </w:r>
      <w:r w:rsidR="004626CD" w:rsidRPr="004626CD">
        <w:rPr>
          <w:sz w:val="22"/>
          <w:szCs w:val="22"/>
        </w:rPr>
        <w:t>Exceptionally, and with the approval of the competent European Commission departments, other clauses can be indicated to cover particular situations.</w:t>
      </w:r>
      <w:r w:rsidR="004626CD">
        <w:rPr>
          <w:sz w:val="22"/>
          <w:szCs w:val="22"/>
        </w:rPr>
        <w:t xml:space="preserve"> </w:t>
      </w:r>
    </w:p>
    <w:p w14:paraId="736F0D72" w14:textId="77777777" w:rsidR="001466DD" w:rsidRDefault="001466DD" w:rsidP="00F162E3">
      <w:pPr>
        <w:jc w:val="both"/>
        <w:rPr>
          <w:b/>
          <w:sz w:val="22"/>
          <w:szCs w:val="22"/>
        </w:rPr>
      </w:pPr>
    </w:p>
    <w:p w14:paraId="6ADC0B6D" w14:textId="77777777" w:rsidR="00016716" w:rsidRDefault="00016716" w:rsidP="00016716">
      <w:pPr>
        <w:ind w:left="1276" w:hanging="1276"/>
        <w:outlineLvl w:val="0"/>
        <w:rPr>
          <w:b/>
          <w:szCs w:val="24"/>
        </w:rPr>
      </w:pPr>
      <w:r>
        <w:rPr>
          <w:b/>
          <w:szCs w:val="24"/>
        </w:rPr>
        <w:t>Contract value</w:t>
      </w:r>
    </w:p>
    <w:p w14:paraId="16AF3D20" w14:textId="77777777" w:rsidR="00016716" w:rsidRDefault="00016716" w:rsidP="00016716">
      <w:pPr>
        <w:ind w:left="1276" w:hanging="1276"/>
        <w:outlineLvl w:val="0"/>
        <w:rPr>
          <w:b/>
          <w:szCs w:val="24"/>
        </w:rPr>
      </w:pPr>
    </w:p>
    <w:p w14:paraId="5BC8B716" w14:textId="77777777" w:rsidR="00016716" w:rsidRDefault="00016716" w:rsidP="00016716">
      <w:pPr>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Pr="00E725FE">
        <w:rPr>
          <w:sz w:val="22"/>
          <w:szCs w:val="22"/>
        </w:rPr>
        <w:t xml:space="preserve">VAT </w:t>
      </w:r>
      <w:r>
        <w:rPr>
          <w:sz w:val="22"/>
          <w:szCs w:val="22"/>
        </w:rPr>
        <w:t>wi</w:t>
      </w:r>
      <w:r w:rsidRPr="00E725FE">
        <w:rPr>
          <w:sz w:val="22"/>
          <w:szCs w:val="22"/>
        </w:rPr>
        <w:t>ll be paid in compliance with the binding regulations, national law and international agreements concerning the execution of the pro</w:t>
      </w:r>
      <w:r>
        <w:rPr>
          <w:sz w:val="22"/>
          <w:szCs w:val="22"/>
        </w:rPr>
        <w:t>ject</w:t>
      </w:r>
      <w:r w:rsidRPr="00E725FE">
        <w:rPr>
          <w:sz w:val="22"/>
          <w:szCs w:val="22"/>
        </w:rPr>
        <w:t>.</w:t>
      </w:r>
    </w:p>
    <w:p w14:paraId="3E24A541" w14:textId="77777777" w:rsidR="00016716" w:rsidRDefault="00016716" w:rsidP="00016716">
      <w:pPr>
        <w:outlineLvl w:val="0"/>
        <w:rPr>
          <w:sz w:val="22"/>
          <w:szCs w:val="22"/>
        </w:rPr>
      </w:pPr>
    </w:p>
    <w:p w14:paraId="1EE4756C" w14:textId="77777777" w:rsidR="00016716" w:rsidRDefault="00016716" w:rsidP="00016716">
      <w:pPr>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3D797CA9" w14:textId="77777777" w:rsidR="00016716" w:rsidRDefault="00016716" w:rsidP="00016716">
      <w:pPr>
        <w:outlineLvl w:val="0"/>
        <w:rPr>
          <w:sz w:val="22"/>
          <w:szCs w:val="22"/>
        </w:rPr>
      </w:pPr>
    </w:p>
    <w:p w14:paraId="78B043B8" w14:textId="23875B35" w:rsidR="00016716" w:rsidRPr="00E725FE" w:rsidRDefault="00016716" w:rsidP="00016716">
      <w:pPr>
        <w:numPr>
          <w:ilvl w:val="0"/>
          <w:numId w:val="14"/>
        </w:numPr>
        <w:tabs>
          <w:tab w:val="left" w:pos="851"/>
          <w:tab w:val="right" w:leader="dot" w:pos="8505"/>
        </w:tabs>
        <w:spacing w:before="120"/>
        <w:ind w:right="97"/>
        <w:rPr>
          <w:sz w:val="22"/>
          <w:szCs w:val="22"/>
        </w:rPr>
      </w:pPr>
      <w:r w:rsidRPr="00E725FE">
        <w:rPr>
          <w:sz w:val="22"/>
          <w:szCs w:val="22"/>
        </w:rPr>
        <w:t>Contract price (excluding VAT/other taxes)</w:t>
      </w:r>
      <w:r>
        <w:rPr>
          <w:sz w:val="22"/>
          <w:szCs w:val="22"/>
        </w:rPr>
        <w:t xml:space="preserve"> </w:t>
      </w:r>
      <w:r w:rsidR="00D13F02">
        <w:rPr>
          <w:sz w:val="22"/>
          <w:szCs w:val="22"/>
        </w:rPr>
        <w:t>RSD</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41F94418" w14:textId="4BC4D5CA" w:rsidR="00DA6FB1" w:rsidRPr="00E725FE" w:rsidRDefault="00016716" w:rsidP="00DA6FB1">
      <w:pPr>
        <w:tabs>
          <w:tab w:val="left" w:pos="851"/>
          <w:tab w:val="right" w:leader="dot" w:pos="8505"/>
        </w:tabs>
        <w:spacing w:before="120"/>
        <w:ind w:left="851" w:right="-567" w:hanging="284"/>
        <w:rPr>
          <w:sz w:val="22"/>
          <w:szCs w:val="22"/>
        </w:rPr>
      </w:pPr>
      <w:r>
        <w:rPr>
          <w:sz w:val="22"/>
          <w:szCs w:val="22"/>
        </w:rPr>
        <w:t>-</w:t>
      </w:r>
      <w:r>
        <w:rPr>
          <w:sz w:val="22"/>
          <w:szCs w:val="22"/>
        </w:rPr>
        <w:tab/>
      </w:r>
      <w:r w:rsidRPr="00E725FE">
        <w:rPr>
          <w:sz w:val="22"/>
          <w:szCs w:val="22"/>
        </w:rPr>
        <w:t>VAT and other taxes</w:t>
      </w:r>
      <w:r>
        <w:rPr>
          <w:sz w:val="22"/>
          <w:szCs w:val="22"/>
        </w:rPr>
        <w:t xml:space="preserve"> </w:t>
      </w:r>
      <w:r w:rsidR="00771C02">
        <w:rPr>
          <w:sz w:val="22"/>
          <w:szCs w:val="22"/>
        </w:rPr>
        <w:t>RSD</w:t>
      </w:r>
      <w:r w:rsidRPr="00D0622A">
        <w:rPr>
          <w:sz w:val="22"/>
          <w:szCs w:val="22"/>
        </w:rPr>
        <w:t xml:space="preserve"> </w:t>
      </w:r>
      <w:r>
        <w:rPr>
          <w:sz w:val="22"/>
          <w:szCs w:val="22"/>
        </w:rPr>
        <w:t>&lt;</w:t>
      </w:r>
      <w:r w:rsidRPr="00C063E3">
        <w:rPr>
          <w:sz w:val="22"/>
          <w:szCs w:val="22"/>
          <w:highlight w:val="yellow"/>
        </w:rPr>
        <w:t>amoun</w:t>
      </w:r>
    </w:p>
    <w:p w14:paraId="288AD5E7" w14:textId="12B629B5" w:rsidR="00016716" w:rsidRPr="00E725FE" w:rsidRDefault="00016716" w:rsidP="00016716">
      <w:pPr>
        <w:tabs>
          <w:tab w:val="left" w:pos="851"/>
          <w:tab w:val="right" w:leader="dot" w:pos="8505"/>
        </w:tabs>
        <w:spacing w:before="120"/>
        <w:ind w:left="851" w:right="-567" w:hanging="284"/>
        <w:rPr>
          <w:sz w:val="22"/>
          <w:szCs w:val="22"/>
        </w:rPr>
      </w:pPr>
    </w:p>
    <w:p w14:paraId="713CC81F" w14:textId="77777777" w:rsidR="00016716" w:rsidRPr="00992F3B" w:rsidRDefault="00016716" w:rsidP="00016716">
      <w:pPr>
        <w:outlineLvl w:val="0"/>
        <w:rPr>
          <w:sz w:val="22"/>
          <w:szCs w:val="22"/>
        </w:rPr>
      </w:pPr>
    </w:p>
    <w:p w14:paraId="0C502378" w14:textId="77777777" w:rsidR="00016716" w:rsidRDefault="00016716" w:rsidP="00016716">
      <w:pPr>
        <w:ind w:left="1276" w:hanging="1276"/>
        <w:outlineLvl w:val="0"/>
        <w:rPr>
          <w:b/>
          <w:szCs w:val="24"/>
        </w:rPr>
      </w:pPr>
      <w:r w:rsidRPr="00C05EBE">
        <w:rPr>
          <w:b/>
          <w:szCs w:val="24"/>
        </w:rPr>
        <w:t>Order of precedence of contract documents</w:t>
      </w:r>
    </w:p>
    <w:p w14:paraId="796D7A5F" w14:textId="77777777" w:rsidR="00016716" w:rsidRPr="006120F3" w:rsidRDefault="00016716" w:rsidP="00016716">
      <w:pPr>
        <w:ind w:left="1276" w:hanging="1276"/>
        <w:outlineLvl w:val="0"/>
        <w:rPr>
          <w:b/>
          <w:szCs w:val="24"/>
        </w:rPr>
      </w:pPr>
    </w:p>
    <w:p w14:paraId="77FC8F29" w14:textId="77777777" w:rsidR="00016716" w:rsidRPr="00E725FE" w:rsidRDefault="00016716" w:rsidP="00515888">
      <w:pPr>
        <w:spacing w:after="120"/>
        <w:ind w:right="-45"/>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0DC4ABA" w14:textId="77777777" w:rsidR="00016716" w:rsidRPr="00E725F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c</w:t>
      </w:r>
      <w:r w:rsidRPr="00E725FE">
        <w:rPr>
          <w:sz w:val="22"/>
          <w:szCs w:val="22"/>
        </w:rPr>
        <w:t>ontract,</w:t>
      </w:r>
    </w:p>
    <w:p w14:paraId="7E2B9CE8" w14:textId="77777777" w:rsidR="00016716" w:rsidRPr="00E725F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6A2F5A3A" w14:textId="77777777" w:rsidR="00016716" w:rsidRPr="002F0C4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g</w:t>
      </w:r>
      <w:r w:rsidRPr="002F0C4E">
        <w:rPr>
          <w:sz w:val="22"/>
          <w:szCs w:val="22"/>
        </w:rPr>
        <w:t xml:space="preserve">eneral </w:t>
      </w:r>
      <w:r>
        <w:rPr>
          <w:sz w:val="22"/>
          <w:szCs w:val="22"/>
        </w:rPr>
        <w:t>c</w:t>
      </w:r>
      <w:r w:rsidRPr="002F0C4E">
        <w:rPr>
          <w:sz w:val="22"/>
          <w:szCs w:val="22"/>
        </w:rPr>
        <w:t>onditions,</w:t>
      </w:r>
    </w:p>
    <w:p w14:paraId="35A55D48" w14:textId="77777777" w:rsidR="00016716" w:rsidRPr="002F0C4E" w:rsidRDefault="00016716" w:rsidP="00016716">
      <w:pPr>
        <w:numPr>
          <w:ilvl w:val="0"/>
          <w:numId w:val="13"/>
        </w:numPr>
        <w:ind w:left="993" w:right="-567"/>
        <w:jc w:val="both"/>
        <w:rPr>
          <w:sz w:val="22"/>
          <w:szCs w:val="22"/>
        </w:rPr>
      </w:pPr>
      <w:r w:rsidRPr="002F0C4E">
        <w:rPr>
          <w:sz w:val="22"/>
          <w:szCs w:val="22"/>
        </w:rPr>
        <w:t xml:space="preserve">the </w:t>
      </w:r>
      <w:r>
        <w:rPr>
          <w:sz w:val="22"/>
          <w:szCs w:val="22"/>
        </w:rPr>
        <w:t>t</w:t>
      </w:r>
      <w:r w:rsidRPr="002F0C4E">
        <w:rPr>
          <w:sz w:val="22"/>
          <w:szCs w:val="22"/>
        </w:rPr>
        <w:t xml:space="preserve">echnical </w:t>
      </w:r>
      <w:r w:rsidRPr="002F0C4E">
        <w:t xml:space="preserve">and/or </w:t>
      </w:r>
      <w:r>
        <w:t>p</w:t>
      </w:r>
      <w:r w:rsidRPr="002F0C4E">
        <w:t xml:space="preserve">erformance </w:t>
      </w:r>
      <w:r>
        <w:rPr>
          <w:sz w:val="22"/>
          <w:szCs w:val="22"/>
        </w:rPr>
        <w:t>s</w:t>
      </w:r>
      <w:r w:rsidRPr="002F0C4E">
        <w:rPr>
          <w:sz w:val="22"/>
          <w:szCs w:val="22"/>
        </w:rPr>
        <w:t>pecifications,</w:t>
      </w:r>
    </w:p>
    <w:p w14:paraId="23F85073" w14:textId="77777777" w:rsidR="00016716" w:rsidRPr="002F0C4E" w:rsidRDefault="00016716" w:rsidP="00016716">
      <w:pPr>
        <w:numPr>
          <w:ilvl w:val="0"/>
          <w:numId w:val="13"/>
        </w:numPr>
        <w:ind w:left="993" w:right="-567"/>
        <w:jc w:val="both"/>
        <w:rPr>
          <w:sz w:val="22"/>
          <w:szCs w:val="22"/>
        </w:rPr>
      </w:pPr>
      <w:r w:rsidRPr="002F0C4E">
        <w:rPr>
          <w:sz w:val="22"/>
          <w:szCs w:val="22"/>
        </w:rPr>
        <w:t xml:space="preserve">the </w:t>
      </w:r>
      <w:r>
        <w:rPr>
          <w:sz w:val="22"/>
          <w:szCs w:val="22"/>
        </w:rPr>
        <w:t>d</w:t>
      </w:r>
      <w:r w:rsidRPr="002F0C4E">
        <w:rPr>
          <w:sz w:val="22"/>
          <w:szCs w:val="22"/>
        </w:rPr>
        <w:t xml:space="preserve">esign </w:t>
      </w:r>
      <w:r>
        <w:rPr>
          <w:sz w:val="22"/>
          <w:szCs w:val="22"/>
        </w:rPr>
        <w:t>d</w:t>
      </w:r>
      <w:r w:rsidRPr="002F0C4E">
        <w:rPr>
          <w:sz w:val="22"/>
          <w:szCs w:val="22"/>
        </w:rPr>
        <w:t>ocumentation (drawings),</w:t>
      </w:r>
    </w:p>
    <w:p w14:paraId="08331596" w14:textId="77777777" w:rsidR="00016716" w:rsidRPr="0092758C" w:rsidRDefault="00016716" w:rsidP="00016716">
      <w:pPr>
        <w:numPr>
          <w:ilvl w:val="0"/>
          <w:numId w:val="13"/>
        </w:numPr>
        <w:ind w:left="993" w:right="-45"/>
        <w:jc w:val="both"/>
        <w:rPr>
          <w:sz w:val="22"/>
          <w:szCs w:val="22"/>
        </w:rPr>
      </w:pPr>
      <w:r w:rsidRPr="002F0C4E">
        <w:rPr>
          <w:sz w:val="22"/>
          <w:szCs w:val="22"/>
        </w:rPr>
        <w:t>the breakdown of</w:t>
      </w:r>
      <w:r w:rsidRPr="0092758C">
        <w:rPr>
          <w:sz w:val="22"/>
          <w:szCs w:val="22"/>
        </w:rPr>
        <w:t xml:space="preserve"> lump-sum price,</w:t>
      </w:r>
    </w:p>
    <w:p w14:paraId="2ACFCBBF" w14:textId="77777777" w:rsidR="00016716" w:rsidRPr="00E725FE" w:rsidRDefault="00016716" w:rsidP="00016716">
      <w:pPr>
        <w:numPr>
          <w:ilvl w:val="0"/>
          <w:numId w:val="13"/>
        </w:numPr>
        <w:ind w:left="993" w:right="-567"/>
        <w:jc w:val="both"/>
        <w:rPr>
          <w:sz w:val="22"/>
          <w:szCs w:val="22"/>
        </w:rPr>
      </w:pPr>
      <w:r>
        <w:rPr>
          <w:sz w:val="22"/>
          <w:szCs w:val="22"/>
        </w:rPr>
        <w:t>the tender,</w:t>
      </w:r>
    </w:p>
    <w:p w14:paraId="00C83755" w14:textId="77777777" w:rsidR="00016716" w:rsidRPr="00E725FE" w:rsidRDefault="00016716" w:rsidP="00016716">
      <w:pPr>
        <w:numPr>
          <w:ilvl w:val="0"/>
          <w:numId w:val="13"/>
        </w:numPr>
        <w:spacing w:after="240"/>
        <w:ind w:left="992" w:right="-567"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03C65136" w14:textId="77777777" w:rsidR="00016716" w:rsidRPr="00E725FE" w:rsidRDefault="00016716" w:rsidP="00016716">
      <w:pPr>
        <w:spacing w:after="240"/>
        <w:ind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299CC8AD" w14:textId="49DA92DC" w:rsidR="004A2BDD" w:rsidRPr="00515888" w:rsidRDefault="004A2BDD" w:rsidP="00515888">
      <w:pPr>
        <w:spacing w:after="240"/>
        <w:ind w:left="567" w:right="-45" w:hanging="567"/>
        <w:jc w:val="both"/>
        <w:rPr>
          <w:b/>
          <w:bCs/>
          <w:szCs w:val="24"/>
        </w:rPr>
      </w:pPr>
      <w:r w:rsidRPr="00515888">
        <w:rPr>
          <w:b/>
          <w:bCs/>
          <w:szCs w:val="24"/>
        </w:rPr>
        <w:t>Other conditions applying to the contract</w:t>
      </w:r>
    </w:p>
    <w:p w14:paraId="1E0BBFDE" w14:textId="7CECF5C0" w:rsidR="00DA6FB1" w:rsidRPr="00DD74D3" w:rsidRDefault="00DA6FB1" w:rsidP="00515888">
      <w:pPr>
        <w:spacing w:after="240"/>
        <w:ind w:right="-45"/>
        <w:jc w:val="both"/>
        <w:rPr>
          <w:sz w:val="22"/>
          <w:szCs w:val="22"/>
        </w:rPr>
      </w:pPr>
      <w:r w:rsidRPr="00DD74D3">
        <w:rPr>
          <w:sz w:val="22"/>
          <w:szCs w:val="22"/>
        </w:rPr>
        <w:t xml:space="preserve">The </w:t>
      </w:r>
      <w:r>
        <w:rPr>
          <w:sz w:val="22"/>
          <w:szCs w:val="22"/>
        </w:rPr>
        <w:t>p</w:t>
      </w:r>
      <w:r w:rsidRPr="00DD74D3">
        <w:rPr>
          <w:sz w:val="22"/>
          <w:szCs w:val="22"/>
        </w:rPr>
        <w:t>arties agree to the set of rights and obligations described in the attached contractual documents, with the following main characteristics, further detailed in the attachments:</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5972"/>
        <w:gridCol w:w="1047"/>
      </w:tblGrid>
      <w:tr w:rsidR="00DA6FB1" w:rsidRPr="00DD74D3" w14:paraId="134351E9" w14:textId="77777777" w:rsidTr="00992F3B">
        <w:tc>
          <w:tcPr>
            <w:tcW w:w="360" w:type="dxa"/>
          </w:tcPr>
          <w:p w14:paraId="43CC62C4" w14:textId="77777777" w:rsidR="00DA6FB1" w:rsidRPr="00DD74D3" w:rsidRDefault="00DA6FB1" w:rsidP="00992F3B">
            <w:pPr>
              <w:jc w:val="both"/>
              <w:rPr>
                <w:rFonts w:eastAsia="Calibri"/>
                <w:snapToGrid/>
                <w:sz w:val="22"/>
                <w:szCs w:val="22"/>
              </w:rPr>
            </w:pPr>
          </w:p>
        </w:tc>
        <w:tc>
          <w:tcPr>
            <w:tcW w:w="7412" w:type="dxa"/>
            <w:gridSpan w:val="2"/>
          </w:tcPr>
          <w:p w14:paraId="12F5DF1C" w14:textId="77777777" w:rsidR="00DA6FB1" w:rsidRPr="00DD74D3" w:rsidRDefault="00DA6FB1" w:rsidP="00992F3B">
            <w:pPr>
              <w:jc w:val="center"/>
              <w:rPr>
                <w:rFonts w:eastAsia="Calibri"/>
                <w:snapToGrid/>
                <w:sz w:val="22"/>
                <w:szCs w:val="22"/>
              </w:rPr>
            </w:pPr>
          </w:p>
          <w:p w14:paraId="7D7CE9D8" w14:textId="77777777" w:rsidR="00DA6FB1" w:rsidRPr="00DD74D3" w:rsidRDefault="00DA6FB1" w:rsidP="00992F3B">
            <w:pPr>
              <w:jc w:val="center"/>
              <w:rPr>
                <w:rFonts w:eastAsia="Calibri"/>
                <w:snapToGrid/>
                <w:sz w:val="22"/>
                <w:szCs w:val="22"/>
              </w:rPr>
            </w:pPr>
          </w:p>
        </w:tc>
        <w:tc>
          <w:tcPr>
            <w:tcW w:w="1047" w:type="dxa"/>
          </w:tcPr>
          <w:p w14:paraId="3C23F7E8" w14:textId="77777777" w:rsidR="00DA6FB1" w:rsidRPr="00DD74D3" w:rsidRDefault="00DA6FB1" w:rsidP="00992F3B">
            <w:pPr>
              <w:jc w:val="both"/>
              <w:rPr>
                <w:rFonts w:eastAsia="Calibri"/>
                <w:snapToGrid/>
                <w:sz w:val="22"/>
                <w:szCs w:val="22"/>
              </w:rPr>
            </w:pPr>
          </w:p>
          <w:p w14:paraId="4AEA639C" w14:textId="77777777" w:rsidR="00DA6FB1" w:rsidRPr="00DD74D3" w:rsidRDefault="00DA6FB1" w:rsidP="00992F3B">
            <w:pPr>
              <w:jc w:val="both"/>
              <w:rPr>
                <w:rFonts w:eastAsia="Calibri"/>
                <w:snapToGrid/>
                <w:sz w:val="22"/>
                <w:szCs w:val="22"/>
              </w:rPr>
            </w:pPr>
            <w:r w:rsidRPr="00DD74D3">
              <w:rPr>
                <w:rFonts w:eastAsia="Calibri"/>
                <w:snapToGrid/>
                <w:sz w:val="22"/>
                <w:szCs w:val="22"/>
              </w:rPr>
              <w:t>Contract-article:</w:t>
            </w:r>
          </w:p>
          <w:p w14:paraId="1CFC39D5" w14:textId="77777777" w:rsidR="00DA6FB1" w:rsidRPr="00DD74D3" w:rsidRDefault="00DA6FB1" w:rsidP="00992F3B">
            <w:pPr>
              <w:jc w:val="both"/>
              <w:rPr>
                <w:rFonts w:eastAsia="Calibri"/>
                <w:snapToGrid/>
                <w:sz w:val="22"/>
                <w:szCs w:val="22"/>
              </w:rPr>
            </w:pPr>
          </w:p>
        </w:tc>
      </w:tr>
      <w:tr w:rsidR="00DA6FB1" w:rsidRPr="00DD74D3" w14:paraId="63BC9F2E" w14:textId="77777777" w:rsidTr="00992F3B">
        <w:tc>
          <w:tcPr>
            <w:tcW w:w="360" w:type="dxa"/>
          </w:tcPr>
          <w:p w14:paraId="18AA0D98" w14:textId="77777777" w:rsidR="00DA6FB1" w:rsidRPr="00DD74D3" w:rsidRDefault="00DA6FB1" w:rsidP="00992F3B">
            <w:pPr>
              <w:jc w:val="both"/>
              <w:rPr>
                <w:rFonts w:eastAsia="Calibri"/>
                <w:snapToGrid/>
                <w:sz w:val="22"/>
                <w:szCs w:val="22"/>
              </w:rPr>
            </w:pPr>
            <w:r w:rsidRPr="00DD74D3">
              <w:rPr>
                <w:rFonts w:eastAsia="Calibri"/>
                <w:snapToGrid/>
                <w:sz w:val="22"/>
                <w:szCs w:val="22"/>
              </w:rPr>
              <w:t>1</w:t>
            </w:r>
          </w:p>
        </w:tc>
        <w:tc>
          <w:tcPr>
            <w:tcW w:w="1440" w:type="dxa"/>
          </w:tcPr>
          <w:p w14:paraId="4ED851AA" w14:textId="77777777" w:rsidR="00DA6FB1" w:rsidRPr="00DD74D3" w:rsidRDefault="00DA6FB1" w:rsidP="00992F3B">
            <w:pPr>
              <w:jc w:val="both"/>
              <w:rPr>
                <w:rFonts w:eastAsia="Calibri"/>
                <w:snapToGrid/>
                <w:sz w:val="22"/>
                <w:szCs w:val="22"/>
              </w:rPr>
            </w:pPr>
            <w:r w:rsidRPr="00DD74D3">
              <w:rPr>
                <w:rFonts w:eastAsia="Calibri"/>
                <w:snapToGrid/>
                <w:sz w:val="22"/>
                <w:szCs w:val="22"/>
              </w:rPr>
              <w:t>Price</w:t>
            </w:r>
          </w:p>
        </w:tc>
        <w:tc>
          <w:tcPr>
            <w:tcW w:w="5972" w:type="dxa"/>
          </w:tcPr>
          <w:p w14:paraId="5BC1D19B" w14:textId="77777777" w:rsidR="00DA6FB1" w:rsidRPr="00DD74D3" w:rsidRDefault="00DA6FB1" w:rsidP="00992F3B">
            <w:pPr>
              <w:jc w:val="both"/>
              <w:rPr>
                <w:rFonts w:eastAsia="Calibri"/>
                <w:snapToGrid/>
                <w:sz w:val="22"/>
                <w:szCs w:val="22"/>
              </w:rPr>
            </w:pPr>
            <w:r w:rsidRPr="00DD74D3">
              <w:rPr>
                <w:rFonts w:eastAsia="Calibri"/>
                <w:snapToGrid/>
                <w:sz w:val="22"/>
                <w:szCs w:val="22"/>
              </w:rPr>
              <w:t>Lump sum contract</w:t>
            </w:r>
          </w:p>
        </w:tc>
        <w:tc>
          <w:tcPr>
            <w:tcW w:w="1047" w:type="dxa"/>
          </w:tcPr>
          <w:p w14:paraId="359301E6" w14:textId="77777777" w:rsidR="00DA6FB1" w:rsidRPr="00DD74D3" w:rsidRDefault="00DA6FB1" w:rsidP="00992F3B">
            <w:pPr>
              <w:jc w:val="center"/>
              <w:rPr>
                <w:rFonts w:eastAsia="Calibri"/>
                <w:snapToGrid/>
                <w:sz w:val="22"/>
                <w:szCs w:val="22"/>
              </w:rPr>
            </w:pPr>
            <w:r w:rsidRPr="00DD74D3">
              <w:rPr>
                <w:rFonts w:eastAsia="Calibri"/>
                <w:snapToGrid/>
                <w:sz w:val="22"/>
                <w:szCs w:val="22"/>
              </w:rPr>
              <w:t>49</w:t>
            </w:r>
          </w:p>
        </w:tc>
      </w:tr>
      <w:tr w:rsidR="00DA6FB1" w:rsidRPr="00DD74D3" w14:paraId="07AA8681" w14:textId="77777777" w:rsidTr="00992F3B">
        <w:tc>
          <w:tcPr>
            <w:tcW w:w="360" w:type="dxa"/>
          </w:tcPr>
          <w:p w14:paraId="5633A49E" w14:textId="77777777" w:rsidR="00DA6FB1" w:rsidRPr="00DD74D3" w:rsidRDefault="00DA6FB1" w:rsidP="00992F3B">
            <w:pPr>
              <w:jc w:val="both"/>
              <w:rPr>
                <w:rFonts w:eastAsia="Calibri"/>
                <w:snapToGrid/>
                <w:sz w:val="22"/>
                <w:szCs w:val="22"/>
              </w:rPr>
            </w:pPr>
          </w:p>
        </w:tc>
        <w:tc>
          <w:tcPr>
            <w:tcW w:w="1440" w:type="dxa"/>
          </w:tcPr>
          <w:p w14:paraId="163F135F" w14:textId="77777777" w:rsidR="00DA6FB1" w:rsidRPr="00DD74D3" w:rsidRDefault="00DA6FB1" w:rsidP="00992F3B">
            <w:pPr>
              <w:jc w:val="both"/>
              <w:rPr>
                <w:rFonts w:eastAsia="Calibri"/>
                <w:snapToGrid/>
                <w:sz w:val="22"/>
                <w:szCs w:val="22"/>
              </w:rPr>
            </w:pPr>
          </w:p>
        </w:tc>
        <w:tc>
          <w:tcPr>
            <w:tcW w:w="5972" w:type="dxa"/>
          </w:tcPr>
          <w:p w14:paraId="0CD6F26A" w14:textId="77777777" w:rsidR="00DA6FB1" w:rsidRPr="00DD74D3" w:rsidRDefault="00DA6FB1" w:rsidP="00992F3B">
            <w:pPr>
              <w:jc w:val="both"/>
              <w:rPr>
                <w:rFonts w:eastAsia="Calibri"/>
                <w:snapToGrid/>
                <w:sz w:val="22"/>
                <w:szCs w:val="22"/>
              </w:rPr>
            </w:pPr>
            <w:r w:rsidRPr="00DD74D3">
              <w:rPr>
                <w:rFonts w:eastAsia="Calibri"/>
                <w:snapToGrid/>
                <w:sz w:val="22"/>
                <w:szCs w:val="22"/>
              </w:rPr>
              <w:t>Prices cannot be revised</w:t>
            </w:r>
          </w:p>
        </w:tc>
        <w:tc>
          <w:tcPr>
            <w:tcW w:w="1047" w:type="dxa"/>
          </w:tcPr>
          <w:p w14:paraId="2D1E8A40" w14:textId="77777777" w:rsidR="00DA6FB1" w:rsidRPr="00DD74D3" w:rsidRDefault="00DA6FB1" w:rsidP="00992F3B">
            <w:pPr>
              <w:jc w:val="center"/>
              <w:rPr>
                <w:rFonts w:eastAsia="Calibri"/>
                <w:snapToGrid/>
                <w:sz w:val="22"/>
                <w:szCs w:val="22"/>
              </w:rPr>
            </w:pPr>
            <w:r w:rsidRPr="00DD74D3">
              <w:rPr>
                <w:rFonts w:eastAsia="Calibri"/>
                <w:snapToGrid/>
                <w:sz w:val="22"/>
                <w:szCs w:val="22"/>
              </w:rPr>
              <w:t>48</w:t>
            </w:r>
          </w:p>
        </w:tc>
      </w:tr>
      <w:tr w:rsidR="00DA6FB1" w:rsidRPr="00DD74D3" w14:paraId="07D11D05" w14:textId="77777777" w:rsidTr="00992F3B">
        <w:tc>
          <w:tcPr>
            <w:tcW w:w="360" w:type="dxa"/>
          </w:tcPr>
          <w:p w14:paraId="33F6C0C1" w14:textId="77777777" w:rsidR="00DA6FB1" w:rsidRPr="00DD74D3" w:rsidRDefault="00DA6FB1" w:rsidP="00992F3B">
            <w:pPr>
              <w:jc w:val="both"/>
              <w:rPr>
                <w:rFonts w:eastAsia="Calibri"/>
                <w:snapToGrid/>
                <w:sz w:val="22"/>
                <w:szCs w:val="22"/>
              </w:rPr>
            </w:pPr>
            <w:r w:rsidRPr="00DD74D3">
              <w:rPr>
                <w:rFonts w:eastAsia="Calibri"/>
                <w:snapToGrid/>
                <w:sz w:val="22"/>
                <w:szCs w:val="22"/>
              </w:rPr>
              <w:t>2</w:t>
            </w:r>
          </w:p>
        </w:tc>
        <w:tc>
          <w:tcPr>
            <w:tcW w:w="1440" w:type="dxa"/>
          </w:tcPr>
          <w:p w14:paraId="1C4D874E" w14:textId="77777777" w:rsidR="00DA6FB1" w:rsidRPr="00DD74D3" w:rsidRDefault="00DA6FB1" w:rsidP="00992F3B">
            <w:pPr>
              <w:jc w:val="both"/>
              <w:rPr>
                <w:rFonts w:eastAsia="Calibri"/>
                <w:snapToGrid/>
                <w:sz w:val="22"/>
                <w:szCs w:val="22"/>
              </w:rPr>
            </w:pPr>
            <w:r w:rsidRPr="00DD74D3">
              <w:rPr>
                <w:rFonts w:eastAsia="Calibri"/>
                <w:snapToGrid/>
                <w:sz w:val="22"/>
                <w:szCs w:val="22"/>
              </w:rPr>
              <w:t>Duration</w:t>
            </w:r>
          </w:p>
        </w:tc>
        <w:tc>
          <w:tcPr>
            <w:tcW w:w="5972" w:type="dxa"/>
          </w:tcPr>
          <w:p w14:paraId="654C70FC" w14:textId="700135AE" w:rsidR="00DA6FB1" w:rsidRPr="00DD74D3" w:rsidRDefault="004D7BC3" w:rsidP="00992F3B">
            <w:pPr>
              <w:jc w:val="both"/>
              <w:rPr>
                <w:rFonts w:eastAsia="Calibri"/>
                <w:snapToGrid/>
                <w:sz w:val="22"/>
                <w:szCs w:val="22"/>
              </w:rPr>
            </w:pPr>
            <w:r>
              <w:rPr>
                <w:sz w:val="22"/>
                <w:szCs w:val="22"/>
              </w:rPr>
              <w:t>9</w:t>
            </w:r>
            <w:r w:rsidRPr="00DF1072">
              <w:rPr>
                <w:sz w:val="22"/>
                <w:szCs w:val="22"/>
              </w:rPr>
              <w:t xml:space="preserve">0/ninety/days </w:t>
            </w:r>
            <w:r w:rsidR="00DA6FB1" w:rsidRPr="00DD74D3">
              <w:rPr>
                <w:rFonts w:eastAsia="Calibri"/>
                <w:snapToGrid/>
                <w:sz w:val="22"/>
                <w:szCs w:val="22"/>
              </w:rPr>
              <w:t xml:space="preserve"> implementation of works</w:t>
            </w:r>
          </w:p>
        </w:tc>
        <w:tc>
          <w:tcPr>
            <w:tcW w:w="1047" w:type="dxa"/>
          </w:tcPr>
          <w:p w14:paraId="40974F7C" w14:textId="77777777" w:rsidR="00DA6FB1" w:rsidRPr="00DD74D3" w:rsidRDefault="00DA6FB1" w:rsidP="00992F3B">
            <w:pPr>
              <w:jc w:val="center"/>
              <w:rPr>
                <w:rFonts w:eastAsia="Calibri"/>
                <w:snapToGrid/>
                <w:sz w:val="22"/>
                <w:szCs w:val="22"/>
              </w:rPr>
            </w:pPr>
            <w:r w:rsidRPr="00DD74D3">
              <w:rPr>
                <w:rFonts w:eastAsia="Calibri"/>
                <w:snapToGrid/>
                <w:sz w:val="22"/>
                <w:szCs w:val="22"/>
              </w:rPr>
              <w:t>34</w:t>
            </w:r>
          </w:p>
        </w:tc>
      </w:tr>
      <w:tr w:rsidR="00DA6FB1" w:rsidRPr="00DD74D3" w14:paraId="782E0B3C" w14:textId="77777777" w:rsidTr="00992F3B">
        <w:tc>
          <w:tcPr>
            <w:tcW w:w="360" w:type="dxa"/>
          </w:tcPr>
          <w:p w14:paraId="7C52FB8A" w14:textId="77777777" w:rsidR="00DA6FB1" w:rsidRPr="00DD74D3" w:rsidRDefault="00DA6FB1" w:rsidP="00992F3B">
            <w:pPr>
              <w:jc w:val="both"/>
              <w:rPr>
                <w:rFonts w:eastAsia="Calibri"/>
                <w:snapToGrid/>
                <w:sz w:val="22"/>
                <w:szCs w:val="22"/>
              </w:rPr>
            </w:pPr>
          </w:p>
        </w:tc>
        <w:tc>
          <w:tcPr>
            <w:tcW w:w="1440" w:type="dxa"/>
          </w:tcPr>
          <w:p w14:paraId="1688DC37" w14:textId="77777777" w:rsidR="00DA6FB1" w:rsidRPr="00DD74D3" w:rsidRDefault="00DA6FB1" w:rsidP="00992F3B">
            <w:pPr>
              <w:jc w:val="both"/>
              <w:rPr>
                <w:rFonts w:eastAsia="Calibri"/>
                <w:snapToGrid/>
                <w:sz w:val="22"/>
                <w:szCs w:val="22"/>
              </w:rPr>
            </w:pPr>
          </w:p>
        </w:tc>
        <w:tc>
          <w:tcPr>
            <w:tcW w:w="5972" w:type="dxa"/>
          </w:tcPr>
          <w:p w14:paraId="1B74DFDB" w14:textId="77777777" w:rsidR="00DA6FB1" w:rsidRPr="00DD74D3" w:rsidRDefault="00DA6FB1" w:rsidP="00992F3B">
            <w:pPr>
              <w:jc w:val="both"/>
              <w:rPr>
                <w:rFonts w:eastAsia="Calibri"/>
                <w:snapToGrid/>
                <w:sz w:val="22"/>
                <w:szCs w:val="22"/>
              </w:rPr>
            </w:pPr>
            <w:r w:rsidRPr="00DD74D3">
              <w:rPr>
                <w:rFonts w:eastAsia="Calibri"/>
                <w:snapToGrid/>
                <w:sz w:val="22"/>
                <w:szCs w:val="22"/>
              </w:rPr>
              <w:t>Provisional acceptance, after completion of works</w:t>
            </w:r>
          </w:p>
        </w:tc>
        <w:tc>
          <w:tcPr>
            <w:tcW w:w="1047" w:type="dxa"/>
          </w:tcPr>
          <w:p w14:paraId="6DBC9F09" w14:textId="77777777" w:rsidR="00DA6FB1" w:rsidRPr="00DD74D3" w:rsidRDefault="00DA6FB1" w:rsidP="00992F3B">
            <w:pPr>
              <w:jc w:val="center"/>
              <w:rPr>
                <w:rFonts w:eastAsia="Calibri"/>
                <w:snapToGrid/>
                <w:sz w:val="22"/>
                <w:szCs w:val="22"/>
              </w:rPr>
            </w:pPr>
            <w:r w:rsidRPr="00DD74D3">
              <w:rPr>
                <w:rFonts w:eastAsia="Calibri"/>
                <w:snapToGrid/>
                <w:sz w:val="22"/>
                <w:szCs w:val="22"/>
              </w:rPr>
              <w:t>60</w:t>
            </w:r>
          </w:p>
        </w:tc>
      </w:tr>
      <w:tr w:rsidR="00DA6FB1" w:rsidRPr="00DD74D3" w14:paraId="0E40381E" w14:textId="77777777" w:rsidTr="00992F3B">
        <w:tc>
          <w:tcPr>
            <w:tcW w:w="360" w:type="dxa"/>
          </w:tcPr>
          <w:p w14:paraId="1971FD74" w14:textId="77777777" w:rsidR="00DA6FB1" w:rsidRPr="00DD74D3" w:rsidRDefault="00DA6FB1" w:rsidP="00992F3B">
            <w:pPr>
              <w:jc w:val="both"/>
              <w:rPr>
                <w:rFonts w:eastAsia="Calibri"/>
                <w:snapToGrid/>
                <w:sz w:val="22"/>
                <w:szCs w:val="22"/>
              </w:rPr>
            </w:pPr>
          </w:p>
        </w:tc>
        <w:tc>
          <w:tcPr>
            <w:tcW w:w="1440" w:type="dxa"/>
          </w:tcPr>
          <w:p w14:paraId="4514F9F9" w14:textId="77777777" w:rsidR="00DA6FB1" w:rsidRPr="00DD74D3" w:rsidRDefault="00DA6FB1" w:rsidP="00992F3B">
            <w:pPr>
              <w:jc w:val="both"/>
              <w:rPr>
                <w:rFonts w:eastAsia="Calibri"/>
                <w:snapToGrid/>
                <w:sz w:val="22"/>
                <w:szCs w:val="22"/>
              </w:rPr>
            </w:pPr>
          </w:p>
        </w:tc>
        <w:tc>
          <w:tcPr>
            <w:tcW w:w="5972" w:type="dxa"/>
          </w:tcPr>
          <w:p w14:paraId="50C68D16" w14:textId="77777777" w:rsidR="00DA6FB1" w:rsidRPr="00DD74D3" w:rsidRDefault="00DA6FB1" w:rsidP="00992F3B">
            <w:pPr>
              <w:jc w:val="both"/>
              <w:rPr>
                <w:rFonts w:eastAsia="Calibri"/>
                <w:snapToGrid/>
                <w:sz w:val="22"/>
                <w:szCs w:val="22"/>
              </w:rPr>
            </w:pPr>
            <w:r w:rsidRPr="00DD74D3">
              <w:rPr>
                <w:rFonts w:eastAsia="Calibri"/>
                <w:snapToGrid/>
                <w:sz w:val="22"/>
                <w:szCs w:val="22"/>
              </w:rPr>
              <w:t>Defects liability period of 365 days, after provisional acceptance</w:t>
            </w:r>
          </w:p>
        </w:tc>
        <w:tc>
          <w:tcPr>
            <w:tcW w:w="1047" w:type="dxa"/>
          </w:tcPr>
          <w:p w14:paraId="6C1F77B4" w14:textId="77777777" w:rsidR="00DA6FB1" w:rsidRPr="00DD74D3" w:rsidRDefault="00DA6FB1" w:rsidP="00992F3B">
            <w:pPr>
              <w:jc w:val="center"/>
              <w:rPr>
                <w:rFonts w:eastAsia="Calibri"/>
                <w:snapToGrid/>
                <w:sz w:val="22"/>
                <w:szCs w:val="22"/>
              </w:rPr>
            </w:pPr>
            <w:r w:rsidRPr="00DD74D3">
              <w:rPr>
                <w:rFonts w:eastAsia="Calibri"/>
                <w:snapToGrid/>
                <w:sz w:val="22"/>
                <w:szCs w:val="22"/>
              </w:rPr>
              <w:t>61</w:t>
            </w:r>
          </w:p>
        </w:tc>
      </w:tr>
      <w:tr w:rsidR="00DA6FB1" w:rsidRPr="00DD74D3" w14:paraId="64C43D10" w14:textId="77777777" w:rsidTr="00992F3B">
        <w:tc>
          <w:tcPr>
            <w:tcW w:w="360" w:type="dxa"/>
          </w:tcPr>
          <w:p w14:paraId="50B596F6" w14:textId="77777777" w:rsidR="00DA6FB1" w:rsidRPr="00DD74D3" w:rsidRDefault="00DA6FB1" w:rsidP="00992F3B">
            <w:pPr>
              <w:jc w:val="both"/>
              <w:rPr>
                <w:rFonts w:eastAsia="Calibri"/>
                <w:snapToGrid/>
                <w:sz w:val="22"/>
                <w:szCs w:val="22"/>
              </w:rPr>
            </w:pPr>
          </w:p>
        </w:tc>
        <w:tc>
          <w:tcPr>
            <w:tcW w:w="1440" w:type="dxa"/>
          </w:tcPr>
          <w:p w14:paraId="616D40D2"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 </w:t>
            </w:r>
          </w:p>
        </w:tc>
        <w:tc>
          <w:tcPr>
            <w:tcW w:w="5972" w:type="dxa"/>
          </w:tcPr>
          <w:p w14:paraId="375C8FE2" w14:textId="77777777" w:rsidR="00DA6FB1" w:rsidRPr="00DD74D3" w:rsidRDefault="00DA6FB1" w:rsidP="00992F3B">
            <w:pPr>
              <w:jc w:val="both"/>
              <w:rPr>
                <w:rFonts w:eastAsia="Calibri"/>
                <w:snapToGrid/>
                <w:sz w:val="22"/>
                <w:szCs w:val="22"/>
              </w:rPr>
            </w:pPr>
            <w:r w:rsidRPr="00DD74D3">
              <w:rPr>
                <w:rFonts w:eastAsia="Calibri"/>
                <w:snapToGrid/>
                <w:sz w:val="22"/>
                <w:szCs w:val="22"/>
              </w:rPr>
              <w:t>Final acceptance, after expiry of defects liability period</w:t>
            </w:r>
          </w:p>
        </w:tc>
        <w:tc>
          <w:tcPr>
            <w:tcW w:w="1047" w:type="dxa"/>
          </w:tcPr>
          <w:p w14:paraId="75089189" w14:textId="77777777" w:rsidR="00DA6FB1" w:rsidRPr="00DD74D3" w:rsidRDefault="00DA6FB1" w:rsidP="00992F3B">
            <w:pPr>
              <w:jc w:val="center"/>
              <w:rPr>
                <w:rFonts w:eastAsia="Calibri"/>
                <w:snapToGrid/>
                <w:sz w:val="22"/>
                <w:szCs w:val="22"/>
              </w:rPr>
            </w:pPr>
            <w:r w:rsidRPr="00DD74D3">
              <w:rPr>
                <w:rFonts w:eastAsia="Calibri"/>
                <w:snapToGrid/>
                <w:sz w:val="22"/>
                <w:szCs w:val="22"/>
              </w:rPr>
              <w:t>62</w:t>
            </w:r>
          </w:p>
        </w:tc>
      </w:tr>
      <w:tr w:rsidR="00DA6FB1" w:rsidRPr="00DD74D3" w14:paraId="09EAECCB" w14:textId="77777777" w:rsidTr="00992F3B">
        <w:tc>
          <w:tcPr>
            <w:tcW w:w="360" w:type="dxa"/>
          </w:tcPr>
          <w:p w14:paraId="5767783C" w14:textId="77777777" w:rsidR="00DA6FB1" w:rsidRPr="00DD74D3" w:rsidRDefault="00DA6FB1" w:rsidP="00992F3B">
            <w:pPr>
              <w:jc w:val="both"/>
              <w:rPr>
                <w:rFonts w:eastAsia="Calibri"/>
                <w:snapToGrid/>
                <w:sz w:val="22"/>
                <w:szCs w:val="22"/>
              </w:rPr>
            </w:pPr>
            <w:r w:rsidRPr="00DD74D3">
              <w:rPr>
                <w:rFonts w:eastAsia="Calibri"/>
                <w:snapToGrid/>
                <w:sz w:val="22"/>
                <w:szCs w:val="22"/>
              </w:rPr>
              <w:t>3</w:t>
            </w:r>
          </w:p>
        </w:tc>
        <w:tc>
          <w:tcPr>
            <w:tcW w:w="1440" w:type="dxa"/>
          </w:tcPr>
          <w:p w14:paraId="377C8571" w14:textId="77777777" w:rsidR="00DA6FB1" w:rsidRPr="00DD74D3" w:rsidRDefault="00DA6FB1" w:rsidP="00992F3B">
            <w:pPr>
              <w:jc w:val="both"/>
              <w:rPr>
                <w:rFonts w:eastAsia="Calibri"/>
                <w:snapToGrid/>
                <w:sz w:val="22"/>
                <w:szCs w:val="22"/>
              </w:rPr>
            </w:pPr>
            <w:r w:rsidRPr="00DD74D3">
              <w:rPr>
                <w:rFonts w:eastAsia="Calibri"/>
                <w:snapToGrid/>
                <w:sz w:val="22"/>
                <w:szCs w:val="22"/>
              </w:rPr>
              <w:t>Delay</w:t>
            </w:r>
          </w:p>
        </w:tc>
        <w:tc>
          <w:tcPr>
            <w:tcW w:w="5972" w:type="dxa"/>
          </w:tcPr>
          <w:p w14:paraId="3F180C41" w14:textId="77777777" w:rsidR="00DA6FB1" w:rsidRPr="00DD74D3" w:rsidRDefault="00DA6FB1" w:rsidP="00992F3B">
            <w:pPr>
              <w:jc w:val="both"/>
              <w:rPr>
                <w:rFonts w:eastAsia="Calibri"/>
                <w:snapToGrid/>
                <w:sz w:val="22"/>
                <w:szCs w:val="22"/>
              </w:rPr>
            </w:pPr>
            <w:r w:rsidRPr="00DD74D3">
              <w:rPr>
                <w:rFonts w:eastAsia="Calibri"/>
                <w:snapToGrid/>
                <w:sz w:val="22"/>
                <w:szCs w:val="22"/>
              </w:rPr>
              <w:t>0.1% of the contract price for every day of delay</w:t>
            </w:r>
          </w:p>
        </w:tc>
        <w:tc>
          <w:tcPr>
            <w:tcW w:w="1047" w:type="dxa"/>
          </w:tcPr>
          <w:p w14:paraId="189AE90A" w14:textId="77777777" w:rsidR="00DA6FB1" w:rsidRPr="00DD74D3" w:rsidRDefault="00DA6FB1" w:rsidP="00992F3B">
            <w:pPr>
              <w:jc w:val="center"/>
              <w:rPr>
                <w:rFonts w:eastAsia="Calibri"/>
                <w:snapToGrid/>
                <w:sz w:val="22"/>
                <w:szCs w:val="22"/>
              </w:rPr>
            </w:pPr>
            <w:r w:rsidRPr="00DD74D3">
              <w:rPr>
                <w:rFonts w:eastAsia="Calibri"/>
                <w:snapToGrid/>
                <w:sz w:val="22"/>
                <w:szCs w:val="22"/>
              </w:rPr>
              <w:t>36</w:t>
            </w:r>
          </w:p>
        </w:tc>
      </w:tr>
      <w:tr w:rsidR="00DA6FB1" w:rsidRPr="00DD74D3" w14:paraId="0FC2B92F" w14:textId="77777777" w:rsidTr="00992F3B">
        <w:tc>
          <w:tcPr>
            <w:tcW w:w="360" w:type="dxa"/>
          </w:tcPr>
          <w:p w14:paraId="148AD827" w14:textId="77777777" w:rsidR="00DA6FB1" w:rsidRPr="00DD74D3" w:rsidRDefault="00DA6FB1" w:rsidP="00992F3B">
            <w:pPr>
              <w:jc w:val="both"/>
              <w:rPr>
                <w:rFonts w:eastAsia="Calibri"/>
                <w:snapToGrid/>
                <w:sz w:val="22"/>
                <w:szCs w:val="22"/>
              </w:rPr>
            </w:pPr>
            <w:r w:rsidRPr="00DD74D3">
              <w:rPr>
                <w:rFonts w:eastAsia="Calibri"/>
                <w:snapToGrid/>
                <w:sz w:val="22"/>
                <w:szCs w:val="22"/>
              </w:rPr>
              <w:t>4</w:t>
            </w:r>
          </w:p>
        </w:tc>
        <w:tc>
          <w:tcPr>
            <w:tcW w:w="1440" w:type="dxa"/>
          </w:tcPr>
          <w:p w14:paraId="2D9310AF" w14:textId="77777777" w:rsidR="00DA6FB1" w:rsidRPr="00DD74D3" w:rsidRDefault="00DA6FB1" w:rsidP="00992F3B">
            <w:pPr>
              <w:jc w:val="both"/>
              <w:rPr>
                <w:rFonts w:eastAsia="Calibri"/>
                <w:snapToGrid/>
                <w:sz w:val="22"/>
                <w:szCs w:val="22"/>
              </w:rPr>
            </w:pPr>
            <w:r w:rsidRPr="00DD74D3">
              <w:rPr>
                <w:rFonts w:eastAsia="Calibri"/>
                <w:snapToGrid/>
                <w:sz w:val="22"/>
                <w:szCs w:val="22"/>
              </w:rPr>
              <w:t>Supervisor</w:t>
            </w:r>
          </w:p>
        </w:tc>
        <w:tc>
          <w:tcPr>
            <w:tcW w:w="5972" w:type="dxa"/>
          </w:tcPr>
          <w:p w14:paraId="7DF3CC1B" w14:textId="3B019E91" w:rsidR="00DA6FB1" w:rsidRPr="00DD74D3" w:rsidRDefault="004D7BC3" w:rsidP="00992F3B">
            <w:pPr>
              <w:jc w:val="both"/>
              <w:rPr>
                <w:rFonts w:eastAsia="Calibri"/>
                <w:snapToGrid/>
                <w:sz w:val="22"/>
                <w:szCs w:val="22"/>
              </w:rPr>
            </w:pPr>
            <w:r>
              <w:rPr>
                <w:sz w:val="22"/>
                <w:szCs w:val="22"/>
              </w:rPr>
              <w:t>S</w:t>
            </w:r>
            <w:r w:rsidRPr="00830C86">
              <w:rPr>
                <w:sz w:val="22"/>
                <w:szCs w:val="22"/>
              </w:rPr>
              <w:t>upervisor will be appointed by Contracting Authority in compliance with Law on planning and construction</w:t>
            </w:r>
          </w:p>
        </w:tc>
        <w:tc>
          <w:tcPr>
            <w:tcW w:w="1047" w:type="dxa"/>
          </w:tcPr>
          <w:p w14:paraId="0CEA3367" w14:textId="77777777" w:rsidR="00DA6FB1" w:rsidRPr="00DD74D3" w:rsidRDefault="00DA6FB1" w:rsidP="00992F3B">
            <w:pPr>
              <w:jc w:val="center"/>
              <w:rPr>
                <w:rFonts w:eastAsia="Calibri"/>
                <w:snapToGrid/>
                <w:sz w:val="22"/>
                <w:szCs w:val="22"/>
              </w:rPr>
            </w:pPr>
            <w:r w:rsidRPr="00DD74D3">
              <w:rPr>
                <w:rFonts w:eastAsia="Calibri"/>
                <w:snapToGrid/>
                <w:sz w:val="22"/>
                <w:szCs w:val="22"/>
              </w:rPr>
              <w:t>5</w:t>
            </w:r>
          </w:p>
        </w:tc>
      </w:tr>
      <w:tr w:rsidR="00DA6FB1" w:rsidRPr="00DD74D3" w14:paraId="3461CF1E" w14:textId="77777777" w:rsidTr="00992F3B">
        <w:tc>
          <w:tcPr>
            <w:tcW w:w="360" w:type="dxa"/>
          </w:tcPr>
          <w:p w14:paraId="3C46ED7B" w14:textId="77777777" w:rsidR="00DA6FB1" w:rsidRPr="00DD74D3" w:rsidRDefault="00DA6FB1" w:rsidP="00992F3B">
            <w:pPr>
              <w:jc w:val="both"/>
              <w:rPr>
                <w:rFonts w:eastAsia="Calibri"/>
                <w:snapToGrid/>
                <w:sz w:val="22"/>
                <w:szCs w:val="22"/>
              </w:rPr>
            </w:pPr>
            <w:r>
              <w:rPr>
                <w:rFonts w:eastAsia="Calibri"/>
                <w:snapToGrid/>
                <w:sz w:val="22"/>
                <w:szCs w:val="22"/>
              </w:rPr>
              <w:t>5</w:t>
            </w:r>
          </w:p>
        </w:tc>
        <w:tc>
          <w:tcPr>
            <w:tcW w:w="1440" w:type="dxa"/>
          </w:tcPr>
          <w:p w14:paraId="08116460"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Bank guarantees </w:t>
            </w:r>
          </w:p>
        </w:tc>
        <w:tc>
          <w:tcPr>
            <w:tcW w:w="5972" w:type="dxa"/>
          </w:tcPr>
          <w:p w14:paraId="1E445E71" w14:textId="7F0F89B3" w:rsidR="00DA6FB1" w:rsidRPr="00DD74D3" w:rsidRDefault="00DA6FB1" w:rsidP="00992F3B">
            <w:pPr>
              <w:jc w:val="both"/>
              <w:rPr>
                <w:rFonts w:eastAsia="Calibri"/>
                <w:snapToGrid/>
                <w:sz w:val="22"/>
                <w:szCs w:val="22"/>
              </w:rPr>
            </w:pPr>
            <w:r w:rsidRPr="00DD74D3">
              <w:rPr>
                <w:rFonts w:eastAsia="Calibri"/>
                <w:snapToGrid/>
                <w:sz w:val="22"/>
                <w:szCs w:val="22"/>
              </w:rPr>
              <w:t>performance, prefinancing</w:t>
            </w:r>
            <w:r w:rsidR="004D7BC3">
              <w:rPr>
                <w:rFonts w:eastAsia="Calibri"/>
                <w:snapToGrid/>
                <w:sz w:val="22"/>
                <w:szCs w:val="22"/>
              </w:rPr>
              <w:t xml:space="preserve">, </w:t>
            </w:r>
            <w:r w:rsidRPr="00DD74D3">
              <w:rPr>
                <w:rFonts w:eastAsia="Calibri"/>
                <w:snapToGrid/>
                <w:sz w:val="22"/>
                <w:szCs w:val="22"/>
              </w:rPr>
              <w:t>retention guarantees</w:t>
            </w:r>
            <w:r w:rsidR="004D7BC3">
              <w:rPr>
                <w:rFonts w:eastAsia="Calibri"/>
                <w:snapToGrid/>
                <w:sz w:val="22"/>
                <w:szCs w:val="22"/>
              </w:rPr>
              <w:t xml:space="preserve"> and d</w:t>
            </w:r>
            <w:r w:rsidR="004D7BC3" w:rsidRPr="004D7BC3">
              <w:rPr>
                <w:rFonts w:eastAsia="Calibri"/>
                <w:snapToGrid/>
                <w:sz w:val="22"/>
                <w:szCs w:val="22"/>
              </w:rPr>
              <w:t xml:space="preserve">efects </w:t>
            </w:r>
            <w:r w:rsidR="004D7BC3">
              <w:rPr>
                <w:rFonts w:eastAsia="Calibri"/>
                <w:snapToGrid/>
                <w:sz w:val="22"/>
                <w:szCs w:val="22"/>
              </w:rPr>
              <w:t>l</w:t>
            </w:r>
            <w:r w:rsidR="004D7BC3" w:rsidRPr="004D7BC3">
              <w:rPr>
                <w:rFonts w:eastAsia="Calibri"/>
                <w:snapToGrid/>
                <w:sz w:val="22"/>
                <w:szCs w:val="22"/>
              </w:rPr>
              <w:t xml:space="preserve">iability guarantee </w:t>
            </w:r>
          </w:p>
          <w:p w14:paraId="3FE7C4EE" w14:textId="77777777" w:rsidR="00DA6FB1" w:rsidRPr="00DD74D3" w:rsidRDefault="00DA6FB1" w:rsidP="00992F3B">
            <w:pPr>
              <w:jc w:val="both"/>
              <w:rPr>
                <w:rFonts w:eastAsia="Calibri"/>
                <w:snapToGrid/>
                <w:sz w:val="22"/>
                <w:szCs w:val="22"/>
              </w:rPr>
            </w:pPr>
          </w:p>
        </w:tc>
        <w:tc>
          <w:tcPr>
            <w:tcW w:w="1047" w:type="dxa"/>
          </w:tcPr>
          <w:p w14:paraId="397ABAEC" w14:textId="6C1FA801" w:rsidR="00DA6FB1" w:rsidRPr="00DD74D3" w:rsidRDefault="00DA6FB1" w:rsidP="00992F3B">
            <w:pPr>
              <w:jc w:val="center"/>
              <w:rPr>
                <w:rFonts w:eastAsia="Calibri"/>
                <w:snapToGrid/>
                <w:sz w:val="22"/>
                <w:szCs w:val="22"/>
              </w:rPr>
            </w:pPr>
            <w:r w:rsidRPr="00DD74D3">
              <w:rPr>
                <w:rFonts w:eastAsia="Calibri"/>
                <w:snapToGrid/>
                <w:sz w:val="22"/>
                <w:szCs w:val="22"/>
              </w:rPr>
              <w:t>15, 46, 47</w:t>
            </w:r>
            <w:r w:rsidR="004D7BC3">
              <w:rPr>
                <w:rFonts w:eastAsia="Calibri"/>
                <w:snapToGrid/>
                <w:sz w:val="22"/>
                <w:szCs w:val="22"/>
              </w:rPr>
              <w:t>, 61</w:t>
            </w:r>
          </w:p>
        </w:tc>
      </w:tr>
      <w:tr w:rsidR="00DA6FB1" w:rsidRPr="00DD74D3" w14:paraId="6E64DD2B" w14:textId="77777777" w:rsidTr="00992F3B">
        <w:tc>
          <w:tcPr>
            <w:tcW w:w="360" w:type="dxa"/>
          </w:tcPr>
          <w:p w14:paraId="27539482" w14:textId="77777777" w:rsidR="00DA6FB1" w:rsidRPr="00DD74D3" w:rsidRDefault="00DA6FB1" w:rsidP="00992F3B">
            <w:pPr>
              <w:jc w:val="both"/>
              <w:rPr>
                <w:rFonts w:eastAsia="Calibri"/>
                <w:snapToGrid/>
                <w:sz w:val="22"/>
                <w:szCs w:val="22"/>
              </w:rPr>
            </w:pPr>
            <w:r>
              <w:rPr>
                <w:rFonts w:eastAsia="Calibri"/>
                <w:snapToGrid/>
                <w:sz w:val="22"/>
                <w:szCs w:val="22"/>
              </w:rPr>
              <w:t>6</w:t>
            </w:r>
          </w:p>
        </w:tc>
        <w:tc>
          <w:tcPr>
            <w:tcW w:w="1440" w:type="dxa"/>
          </w:tcPr>
          <w:p w14:paraId="4C74F433" w14:textId="77777777" w:rsidR="00DA6FB1" w:rsidRPr="00DD74D3" w:rsidRDefault="00DA6FB1" w:rsidP="00992F3B">
            <w:pPr>
              <w:jc w:val="both"/>
              <w:rPr>
                <w:rFonts w:eastAsia="Calibri"/>
                <w:snapToGrid/>
                <w:sz w:val="22"/>
                <w:szCs w:val="22"/>
              </w:rPr>
            </w:pPr>
            <w:r w:rsidRPr="00DD74D3">
              <w:rPr>
                <w:rFonts w:eastAsia="Calibri"/>
                <w:snapToGrid/>
                <w:sz w:val="22"/>
                <w:szCs w:val="22"/>
              </w:rPr>
              <w:t>Insurances</w:t>
            </w:r>
          </w:p>
        </w:tc>
        <w:tc>
          <w:tcPr>
            <w:tcW w:w="5972" w:type="dxa"/>
          </w:tcPr>
          <w:p w14:paraId="3DC9327A" w14:textId="77777777" w:rsidR="00DA6FB1" w:rsidRPr="00DD74D3" w:rsidRDefault="00DA6FB1" w:rsidP="00992F3B">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047" w:type="dxa"/>
          </w:tcPr>
          <w:p w14:paraId="6AA24603"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47818BC9" w14:textId="77777777" w:rsidTr="00992F3B">
        <w:tc>
          <w:tcPr>
            <w:tcW w:w="360" w:type="dxa"/>
          </w:tcPr>
          <w:p w14:paraId="2E85B308" w14:textId="77777777" w:rsidR="00DA6FB1" w:rsidRPr="00DD74D3" w:rsidRDefault="00DA6FB1" w:rsidP="00992F3B">
            <w:pPr>
              <w:jc w:val="both"/>
              <w:rPr>
                <w:rFonts w:eastAsia="Calibri"/>
                <w:snapToGrid/>
                <w:sz w:val="22"/>
                <w:szCs w:val="22"/>
              </w:rPr>
            </w:pPr>
          </w:p>
        </w:tc>
        <w:tc>
          <w:tcPr>
            <w:tcW w:w="1440" w:type="dxa"/>
          </w:tcPr>
          <w:p w14:paraId="5A320FD9" w14:textId="77777777" w:rsidR="00DA6FB1" w:rsidRPr="00DD74D3" w:rsidRDefault="00DA6FB1" w:rsidP="00992F3B">
            <w:pPr>
              <w:jc w:val="both"/>
              <w:rPr>
                <w:rFonts w:eastAsia="Calibri"/>
                <w:snapToGrid/>
                <w:sz w:val="22"/>
                <w:szCs w:val="22"/>
              </w:rPr>
            </w:pPr>
          </w:p>
        </w:tc>
        <w:tc>
          <w:tcPr>
            <w:tcW w:w="5972" w:type="dxa"/>
          </w:tcPr>
          <w:p w14:paraId="4D96DEC8" w14:textId="77777777" w:rsidR="00DA6FB1" w:rsidRPr="00DD74D3" w:rsidRDefault="00DA6FB1" w:rsidP="00992F3B">
            <w:pPr>
              <w:jc w:val="both"/>
              <w:rPr>
                <w:rFonts w:eastAsia="Calibri"/>
                <w:snapToGrid/>
                <w:sz w:val="22"/>
                <w:szCs w:val="22"/>
              </w:rPr>
            </w:pPr>
            <w:r w:rsidRPr="00DD74D3">
              <w:rPr>
                <w:rFonts w:eastAsia="Calibri"/>
                <w:snapToGrid/>
                <w:sz w:val="22"/>
                <w:szCs w:val="22"/>
              </w:rPr>
              <w:t>Contractor all risk insurance</w:t>
            </w:r>
          </w:p>
        </w:tc>
        <w:tc>
          <w:tcPr>
            <w:tcW w:w="1047" w:type="dxa"/>
          </w:tcPr>
          <w:p w14:paraId="2FED8E87"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73BAAA0E" w14:textId="77777777" w:rsidTr="00992F3B">
        <w:tc>
          <w:tcPr>
            <w:tcW w:w="360" w:type="dxa"/>
          </w:tcPr>
          <w:p w14:paraId="4FDC8771" w14:textId="77777777" w:rsidR="00DA6FB1" w:rsidRPr="00DD74D3" w:rsidRDefault="00DA6FB1" w:rsidP="00992F3B">
            <w:pPr>
              <w:jc w:val="both"/>
              <w:rPr>
                <w:rFonts w:eastAsia="Calibri"/>
                <w:snapToGrid/>
                <w:sz w:val="22"/>
                <w:szCs w:val="22"/>
              </w:rPr>
            </w:pPr>
          </w:p>
        </w:tc>
        <w:tc>
          <w:tcPr>
            <w:tcW w:w="1440" w:type="dxa"/>
          </w:tcPr>
          <w:p w14:paraId="5A44E9B1" w14:textId="77777777" w:rsidR="00DA6FB1" w:rsidRPr="00DD74D3" w:rsidRDefault="00DA6FB1" w:rsidP="00992F3B">
            <w:pPr>
              <w:jc w:val="both"/>
              <w:rPr>
                <w:rFonts w:eastAsia="Calibri"/>
                <w:snapToGrid/>
                <w:sz w:val="22"/>
                <w:szCs w:val="22"/>
              </w:rPr>
            </w:pPr>
          </w:p>
        </w:tc>
        <w:tc>
          <w:tcPr>
            <w:tcW w:w="5972" w:type="dxa"/>
          </w:tcPr>
          <w:p w14:paraId="20C61DDE"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Insurance against accidents at work </w:t>
            </w:r>
          </w:p>
        </w:tc>
        <w:tc>
          <w:tcPr>
            <w:tcW w:w="1047" w:type="dxa"/>
          </w:tcPr>
          <w:p w14:paraId="6B749D12"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47E6C58E" w14:textId="77777777" w:rsidTr="00992F3B">
        <w:tc>
          <w:tcPr>
            <w:tcW w:w="360" w:type="dxa"/>
          </w:tcPr>
          <w:p w14:paraId="5B1AD84A" w14:textId="77777777" w:rsidR="00DA6FB1" w:rsidRPr="00DD74D3" w:rsidRDefault="00DA6FB1" w:rsidP="00992F3B">
            <w:pPr>
              <w:jc w:val="both"/>
              <w:rPr>
                <w:rFonts w:eastAsia="Calibri"/>
                <w:snapToGrid/>
                <w:sz w:val="22"/>
                <w:szCs w:val="22"/>
              </w:rPr>
            </w:pPr>
          </w:p>
        </w:tc>
        <w:tc>
          <w:tcPr>
            <w:tcW w:w="1440" w:type="dxa"/>
          </w:tcPr>
          <w:p w14:paraId="2FE87CCE" w14:textId="77777777" w:rsidR="00DA6FB1" w:rsidRPr="00DD74D3" w:rsidRDefault="00DA6FB1" w:rsidP="00992F3B">
            <w:pPr>
              <w:jc w:val="both"/>
              <w:rPr>
                <w:rFonts w:eastAsia="Calibri"/>
                <w:snapToGrid/>
                <w:sz w:val="22"/>
                <w:szCs w:val="22"/>
              </w:rPr>
            </w:pPr>
          </w:p>
        </w:tc>
        <w:tc>
          <w:tcPr>
            <w:tcW w:w="5972" w:type="dxa"/>
          </w:tcPr>
          <w:p w14:paraId="0508B039"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Insurance for soundness of works  </w:t>
            </w:r>
          </w:p>
        </w:tc>
        <w:tc>
          <w:tcPr>
            <w:tcW w:w="1047" w:type="dxa"/>
          </w:tcPr>
          <w:p w14:paraId="395D35D4"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54AF1E5F" w14:textId="77777777" w:rsidTr="00992F3B">
        <w:tc>
          <w:tcPr>
            <w:tcW w:w="360" w:type="dxa"/>
          </w:tcPr>
          <w:p w14:paraId="7B35B39F" w14:textId="77777777" w:rsidR="00DA6FB1" w:rsidRPr="00DD74D3" w:rsidRDefault="00DA6FB1" w:rsidP="00992F3B">
            <w:pPr>
              <w:jc w:val="both"/>
              <w:rPr>
                <w:rFonts w:eastAsia="Calibri"/>
                <w:snapToGrid/>
                <w:sz w:val="22"/>
                <w:szCs w:val="22"/>
              </w:rPr>
            </w:pPr>
            <w:r>
              <w:rPr>
                <w:rFonts w:eastAsia="Calibri"/>
                <w:snapToGrid/>
                <w:sz w:val="22"/>
                <w:szCs w:val="22"/>
              </w:rPr>
              <w:t>7</w:t>
            </w:r>
          </w:p>
        </w:tc>
        <w:tc>
          <w:tcPr>
            <w:tcW w:w="1440" w:type="dxa"/>
          </w:tcPr>
          <w:p w14:paraId="5638CF33" w14:textId="77777777" w:rsidR="00DA6FB1" w:rsidRPr="00DD74D3" w:rsidRDefault="00DA6FB1" w:rsidP="00992F3B">
            <w:pPr>
              <w:jc w:val="both"/>
              <w:rPr>
                <w:rFonts w:eastAsia="Calibri"/>
                <w:snapToGrid/>
                <w:sz w:val="22"/>
                <w:szCs w:val="22"/>
              </w:rPr>
            </w:pPr>
            <w:r w:rsidRPr="00DD74D3">
              <w:rPr>
                <w:rFonts w:eastAsia="Calibri"/>
                <w:snapToGrid/>
                <w:sz w:val="22"/>
                <w:szCs w:val="22"/>
              </w:rPr>
              <w:t>Payments</w:t>
            </w:r>
          </w:p>
        </w:tc>
        <w:tc>
          <w:tcPr>
            <w:tcW w:w="5972" w:type="dxa"/>
          </w:tcPr>
          <w:p w14:paraId="5C71BBDB" w14:textId="77777777" w:rsidR="00DA6FB1" w:rsidRPr="00DD74D3" w:rsidRDefault="00DA6FB1" w:rsidP="00992F3B">
            <w:pPr>
              <w:jc w:val="both"/>
              <w:rPr>
                <w:rFonts w:eastAsia="Calibri"/>
                <w:snapToGrid/>
                <w:sz w:val="22"/>
                <w:szCs w:val="22"/>
              </w:rPr>
            </w:pPr>
            <w:r w:rsidRPr="00DD74D3">
              <w:rPr>
                <w:rFonts w:eastAsia="Calibri"/>
                <w:snapToGrid/>
                <w:sz w:val="22"/>
                <w:szCs w:val="22"/>
              </w:rPr>
              <w:t>lump sum advance for 20% of the original contract price, after conclusion of the contract</w:t>
            </w:r>
          </w:p>
        </w:tc>
        <w:tc>
          <w:tcPr>
            <w:tcW w:w="1047" w:type="dxa"/>
          </w:tcPr>
          <w:p w14:paraId="1240A2B8" w14:textId="77777777" w:rsidR="00DA6FB1" w:rsidRPr="00DD74D3" w:rsidRDefault="00DA6FB1" w:rsidP="00992F3B">
            <w:pPr>
              <w:jc w:val="center"/>
              <w:rPr>
                <w:rFonts w:eastAsia="Calibri"/>
                <w:snapToGrid/>
                <w:sz w:val="22"/>
                <w:szCs w:val="22"/>
              </w:rPr>
            </w:pPr>
            <w:r w:rsidRPr="00DD74D3">
              <w:rPr>
                <w:rFonts w:eastAsia="Calibri"/>
                <w:snapToGrid/>
                <w:sz w:val="22"/>
                <w:szCs w:val="22"/>
              </w:rPr>
              <w:t>46</w:t>
            </w:r>
          </w:p>
        </w:tc>
      </w:tr>
      <w:tr w:rsidR="00DA6FB1" w:rsidRPr="00DD74D3" w14:paraId="4E924D6D" w14:textId="77777777" w:rsidTr="00992F3B">
        <w:tc>
          <w:tcPr>
            <w:tcW w:w="360" w:type="dxa"/>
          </w:tcPr>
          <w:p w14:paraId="5D2CFED2" w14:textId="77777777" w:rsidR="00DA6FB1" w:rsidRPr="00DD74D3" w:rsidRDefault="00DA6FB1" w:rsidP="00992F3B">
            <w:pPr>
              <w:jc w:val="both"/>
              <w:rPr>
                <w:rFonts w:eastAsia="Calibri"/>
                <w:snapToGrid/>
                <w:sz w:val="22"/>
                <w:szCs w:val="22"/>
              </w:rPr>
            </w:pPr>
          </w:p>
        </w:tc>
        <w:tc>
          <w:tcPr>
            <w:tcW w:w="1440" w:type="dxa"/>
          </w:tcPr>
          <w:p w14:paraId="2238B61A" w14:textId="77777777" w:rsidR="00DA6FB1" w:rsidRPr="00DD74D3" w:rsidRDefault="00DA6FB1" w:rsidP="00992F3B">
            <w:pPr>
              <w:jc w:val="both"/>
              <w:rPr>
                <w:rFonts w:eastAsia="Calibri"/>
                <w:snapToGrid/>
                <w:sz w:val="22"/>
                <w:szCs w:val="22"/>
              </w:rPr>
            </w:pPr>
          </w:p>
        </w:tc>
        <w:tc>
          <w:tcPr>
            <w:tcW w:w="5972" w:type="dxa"/>
          </w:tcPr>
          <w:p w14:paraId="74AEC7ED" w14:textId="6993B854" w:rsidR="00DA6FB1" w:rsidRPr="00DD74D3" w:rsidRDefault="00DA6FB1" w:rsidP="00992F3B">
            <w:pPr>
              <w:jc w:val="both"/>
              <w:rPr>
                <w:rFonts w:eastAsia="Calibri"/>
                <w:snapToGrid/>
                <w:sz w:val="22"/>
                <w:szCs w:val="22"/>
              </w:rPr>
            </w:pPr>
            <w:r w:rsidRPr="00DD74D3">
              <w:rPr>
                <w:rFonts w:eastAsia="Calibri"/>
                <w:snapToGrid/>
                <w:sz w:val="22"/>
                <w:szCs w:val="22"/>
              </w:rPr>
              <w:t xml:space="preserve">Interim payment for </w:t>
            </w:r>
            <w:r w:rsidR="00C1114B">
              <w:rPr>
                <w:rFonts w:eastAsia="Calibri"/>
                <w:snapToGrid/>
                <w:sz w:val="22"/>
                <w:szCs w:val="22"/>
              </w:rPr>
              <w:t>70</w:t>
            </w:r>
            <w:r w:rsidRPr="00DD74D3">
              <w:rPr>
                <w:rFonts w:eastAsia="Calibri"/>
                <w:snapToGrid/>
                <w:sz w:val="22"/>
                <w:szCs w:val="22"/>
              </w:rPr>
              <w:t xml:space="preserve">% of the contract price, after completion of </w:t>
            </w:r>
            <w:r w:rsidR="002B0018">
              <w:rPr>
                <w:rFonts w:eastAsia="Calibri"/>
                <w:snapToGrid/>
                <w:sz w:val="22"/>
                <w:szCs w:val="22"/>
              </w:rPr>
              <w:t>90%</w:t>
            </w:r>
            <w:r w:rsidRPr="00DD74D3">
              <w:rPr>
                <w:rFonts w:eastAsia="Calibri"/>
                <w:snapToGrid/>
                <w:sz w:val="22"/>
                <w:szCs w:val="22"/>
              </w:rPr>
              <w:t xml:space="preserve"> </w:t>
            </w:r>
            <w:r w:rsidR="002B0018" w:rsidRPr="00DD74D3">
              <w:rPr>
                <w:rFonts w:eastAsia="Calibri"/>
                <w:snapToGrid/>
                <w:sz w:val="22"/>
                <w:szCs w:val="22"/>
              </w:rPr>
              <w:t>quantities</w:t>
            </w:r>
            <w:r w:rsidR="002B0018">
              <w:rPr>
                <w:rFonts w:eastAsia="Calibri"/>
                <w:snapToGrid/>
                <w:sz w:val="22"/>
                <w:szCs w:val="22"/>
              </w:rPr>
              <w:t xml:space="preserve"> </w:t>
            </w:r>
          </w:p>
        </w:tc>
        <w:tc>
          <w:tcPr>
            <w:tcW w:w="1047" w:type="dxa"/>
          </w:tcPr>
          <w:p w14:paraId="7038D00C" w14:textId="77777777" w:rsidR="00DA6FB1" w:rsidRPr="00DD74D3" w:rsidRDefault="00DA6FB1" w:rsidP="00992F3B">
            <w:pPr>
              <w:jc w:val="center"/>
              <w:rPr>
                <w:rFonts w:eastAsia="Calibri"/>
                <w:snapToGrid/>
                <w:sz w:val="22"/>
                <w:szCs w:val="22"/>
              </w:rPr>
            </w:pPr>
            <w:r w:rsidRPr="00DD74D3">
              <w:rPr>
                <w:rFonts w:eastAsia="Calibri"/>
                <w:snapToGrid/>
                <w:sz w:val="22"/>
                <w:szCs w:val="22"/>
              </w:rPr>
              <w:t>49, 50</w:t>
            </w:r>
          </w:p>
        </w:tc>
      </w:tr>
      <w:tr w:rsidR="002B0018" w:rsidRPr="00DD74D3" w14:paraId="7FE71785" w14:textId="77777777" w:rsidTr="00992F3B">
        <w:tc>
          <w:tcPr>
            <w:tcW w:w="360" w:type="dxa"/>
          </w:tcPr>
          <w:p w14:paraId="32701FE8" w14:textId="77777777" w:rsidR="002B0018" w:rsidRPr="00DD74D3" w:rsidRDefault="002B0018" w:rsidP="002B0018">
            <w:pPr>
              <w:jc w:val="both"/>
              <w:rPr>
                <w:rFonts w:eastAsia="Calibri"/>
                <w:snapToGrid/>
                <w:sz w:val="22"/>
                <w:szCs w:val="22"/>
              </w:rPr>
            </w:pPr>
          </w:p>
        </w:tc>
        <w:tc>
          <w:tcPr>
            <w:tcW w:w="1440" w:type="dxa"/>
          </w:tcPr>
          <w:p w14:paraId="1284D330" w14:textId="77777777" w:rsidR="002B0018" w:rsidRPr="00DD74D3" w:rsidRDefault="002B0018" w:rsidP="002B0018">
            <w:pPr>
              <w:jc w:val="both"/>
              <w:rPr>
                <w:rFonts w:eastAsia="Calibri"/>
                <w:snapToGrid/>
                <w:sz w:val="22"/>
                <w:szCs w:val="22"/>
              </w:rPr>
            </w:pPr>
          </w:p>
        </w:tc>
        <w:tc>
          <w:tcPr>
            <w:tcW w:w="5972" w:type="dxa"/>
          </w:tcPr>
          <w:p w14:paraId="6C55418C" w14:textId="092AE583" w:rsidR="002B0018" w:rsidRPr="00DD74D3" w:rsidRDefault="002B0018" w:rsidP="002B0018">
            <w:pPr>
              <w:jc w:val="both"/>
              <w:rPr>
                <w:rFonts w:eastAsia="Calibri"/>
                <w:snapToGrid/>
                <w:sz w:val="22"/>
                <w:szCs w:val="22"/>
              </w:rPr>
            </w:pPr>
            <w:r w:rsidRPr="005D7FA3">
              <w:rPr>
                <w:sz w:val="22"/>
                <w:szCs w:val="22"/>
                <w:lang w:eastAsia="en-GB"/>
              </w:rPr>
              <w:t>Final payment</w:t>
            </w:r>
            <w:r>
              <w:rPr>
                <w:sz w:val="22"/>
                <w:szCs w:val="22"/>
                <w:lang w:eastAsia="en-GB"/>
              </w:rPr>
              <w:t xml:space="preserve"> for min 10% of contract</w:t>
            </w:r>
          </w:p>
        </w:tc>
        <w:tc>
          <w:tcPr>
            <w:tcW w:w="1047" w:type="dxa"/>
          </w:tcPr>
          <w:p w14:paraId="1DC0937E" w14:textId="35AE1055" w:rsidR="002B0018" w:rsidRPr="00DD74D3" w:rsidRDefault="002B0018" w:rsidP="002B0018">
            <w:pPr>
              <w:jc w:val="center"/>
              <w:rPr>
                <w:rFonts w:eastAsia="Calibri"/>
                <w:snapToGrid/>
                <w:sz w:val="22"/>
                <w:szCs w:val="22"/>
              </w:rPr>
            </w:pPr>
            <w:r>
              <w:rPr>
                <w:rFonts w:eastAsia="Calibri"/>
                <w:snapToGrid/>
                <w:sz w:val="22"/>
                <w:szCs w:val="22"/>
              </w:rPr>
              <w:t>49,50</w:t>
            </w:r>
          </w:p>
        </w:tc>
      </w:tr>
    </w:tbl>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49D9BDCF" w14:textId="77777777" w:rsidR="004A2BDD" w:rsidRDefault="003D764D" w:rsidP="004A2BDD">
      <w:pPr>
        <w:ind w:left="1134" w:hanging="567"/>
        <w:rPr>
          <w:sz w:val="22"/>
          <w:szCs w:val="22"/>
        </w:rPr>
      </w:pPr>
      <w:r w:rsidRPr="00F162E3">
        <w:rPr>
          <w:sz w:val="22"/>
          <w:szCs w:val="22"/>
        </w:rPr>
        <w:t>4.1</w:t>
      </w:r>
      <w:r w:rsidRPr="00F162E3">
        <w:rPr>
          <w:sz w:val="22"/>
          <w:szCs w:val="22"/>
        </w:rPr>
        <w:tab/>
      </w:r>
      <w:r w:rsidR="004A2BDD" w:rsidRPr="003F3783">
        <w:rPr>
          <w:sz w:val="22"/>
          <w:szCs w:val="22"/>
        </w:rPr>
        <w:t>Communication details</w:t>
      </w:r>
    </w:p>
    <w:p w14:paraId="4153808C" w14:textId="77777777" w:rsidR="004A2BDD" w:rsidRPr="003F3783" w:rsidRDefault="004A2BDD" w:rsidP="004A2BDD">
      <w:pPr>
        <w:ind w:left="1134" w:hanging="567"/>
        <w:rPr>
          <w:sz w:val="22"/>
          <w:szCs w:val="22"/>
        </w:rPr>
      </w:pPr>
    </w:p>
    <w:p w14:paraId="76C45ADC" w14:textId="77777777" w:rsidR="004A2BDD" w:rsidRDefault="004A2BDD" w:rsidP="004A2BDD">
      <w:pPr>
        <w:ind w:left="1276" w:hanging="709"/>
        <w:jc w:val="both"/>
        <w:rPr>
          <w:iCs/>
          <w:sz w:val="22"/>
          <w:szCs w:val="22"/>
        </w:rPr>
      </w:pPr>
      <w:r>
        <w:rPr>
          <w:sz w:val="22"/>
          <w:szCs w:val="22"/>
        </w:rPr>
        <w:t xml:space="preserve">4.5 &amp; 4.6  </w:t>
      </w:r>
      <w:r w:rsidRPr="003F3783">
        <w:rPr>
          <w:iCs/>
          <w:sz w:val="22"/>
          <w:szCs w:val="22"/>
        </w:rPr>
        <w:t>Mail or email communication </w:t>
      </w:r>
    </w:p>
    <w:p w14:paraId="2A765C45" w14:textId="77777777" w:rsidR="004A2BDD" w:rsidRPr="003F3783" w:rsidRDefault="004A2BDD" w:rsidP="004A2BDD">
      <w:pPr>
        <w:spacing w:before="100" w:beforeAutospacing="1" w:after="100" w:afterAutospacing="1"/>
        <w:ind w:left="1134"/>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 mail or email communications must be sent to the following addresses: </w:t>
      </w:r>
    </w:p>
    <w:p w14:paraId="49DC9D99" w14:textId="0A8034FF" w:rsidR="004A2BDD" w:rsidRDefault="004A2BDD" w:rsidP="00F13AAE">
      <w:pPr>
        <w:spacing w:after="100" w:afterAutospacing="1"/>
        <w:ind w:left="414" w:firstLine="720"/>
        <w:textAlignment w:val="baseline"/>
        <w:rPr>
          <w:snapToGrid/>
          <w:sz w:val="22"/>
          <w:szCs w:val="22"/>
          <w:highlight w:val="lightGray"/>
          <w:lang w:val="en-IE" w:eastAsia="fr-BE"/>
        </w:rPr>
      </w:pPr>
      <w:r w:rsidRPr="003F3783">
        <w:rPr>
          <w:snapToGrid/>
          <w:sz w:val="22"/>
          <w:szCs w:val="22"/>
          <w:lang w:val="en-IE" w:eastAsia="fr-BE"/>
        </w:rPr>
        <w:t xml:space="preserve"> </w:t>
      </w:r>
      <w:r>
        <w:rPr>
          <w:snapToGrid/>
          <w:sz w:val="22"/>
          <w:szCs w:val="22"/>
          <w:highlight w:val="lightGray"/>
          <w:lang w:val="en-IE" w:eastAsia="fr-BE"/>
        </w:rPr>
        <w:t>Contracting Authority</w:t>
      </w:r>
      <w:r w:rsidR="00027B8A">
        <w:rPr>
          <w:snapToGrid/>
          <w:sz w:val="22"/>
          <w:szCs w:val="22"/>
          <w:highlight w:val="lightGray"/>
          <w:lang w:val="en-IE" w:eastAsia="fr-BE"/>
        </w:rPr>
        <w:t>:</w:t>
      </w:r>
      <w:r>
        <w:rPr>
          <w:snapToGrid/>
          <w:sz w:val="22"/>
          <w:szCs w:val="22"/>
          <w:highlight w:val="lightGray"/>
          <w:lang w:val="en-IE" w:eastAsia="fr-BE"/>
        </w:rPr>
        <w:t xml:space="preserve">  </w:t>
      </w:r>
    </w:p>
    <w:p w14:paraId="2F96E5C7" w14:textId="5465F998" w:rsidR="004A2BDD" w:rsidRDefault="00F13AAE" w:rsidP="004A2BDD">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Municipality of Knjazevac</w:t>
      </w:r>
    </w:p>
    <w:p w14:paraId="4AF9CC0C" w14:textId="657F2375" w:rsidR="004A2BDD" w:rsidRDefault="00F13AAE" w:rsidP="004A2BDD">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Milosa Obilica 1, 19350 Knjazevac</w:t>
      </w:r>
      <w:r w:rsidR="004A2BDD">
        <w:rPr>
          <w:snapToGrid/>
          <w:sz w:val="22"/>
          <w:szCs w:val="22"/>
          <w:highlight w:val="lightGray"/>
          <w:lang w:val="en-IE" w:eastAsia="fr-BE"/>
        </w:rPr>
        <w:t xml:space="preserve">  </w:t>
      </w:r>
    </w:p>
    <w:p w14:paraId="6C15D082" w14:textId="7D79D384" w:rsidR="004A2BDD" w:rsidRPr="003F3783" w:rsidRDefault="004A2BDD" w:rsidP="00027B8A">
      <w:pPr>
        <w:spacing w:after="100" w:afterAutospacing="1" w:line="480" w:lineRule="auto"/>
        <w:ind w:left="1194"/>
        <w:textAlignment w:val="baseline"/>
        <w:rPr>
          <w:snapToGrid/>
          <w:sz w:val="22"/>
          <w:szCs w:val="22"/>
          <w:lang w:val="en-IE" w:eastAsia="fr-BE"/>
        </w:rPr>
      </w:pPr>
      <w:r>
        <w:rPr>
          <w:snapToGrid/>
          <w:sz w:val="22"/>
          <w:szCs w:val="22"/>
          <w:highlight w:val="lightGray"/>
          <w:lang w:val="en-IE" w:eastAsia="fr-BE"/>
        </w:rPr>
        <w:t xml:space="preserve">[E-mail: </w:t>
      </w:r>
      <w:hyperlink r:id="rId8" w:history="1">
        <w:r w:rsidR="00027B8A" w:rsidRPr="003E355B">
          <w:rPr>
            <w:rStyle w:val="Hyperlink"/>
            <w:snapToGrid/>
            <w:sz w:val="22"/>
            <w:szCs w:val="22"/>
            <w:lang w:val="en-IE" w:eastAsia="fr-BE"/>
          </w:rPr>
          <w:t>aljosa.simic@knjazevac.rs</w:t>
        </w:r>
      </w:hyperlink>
      <w:r w:rsidR="00027B8A">
        <w:rPr>
          <w:snapToGrid/>
          <w:sz w:val="22"/>
          <w:szCs w:val="22"/>
          <w:lang w:val="en-IE" w:eastAsia="fr-BE"/>
        </w:rPr>
        <w:t xml:space="preserve"> </w:t>
      </w:r>
      <w:r w:rsidRPr="003F3783">
        <w:rPr>
          <w:snapToGrid/>
          <w:sz w:val="22"/>
          <w:szCs w:val="22"/>
          <w:lang w:val="en-IE" w:eastAsia="fr-BE"/>
        </w:rPr>
        <w:t xml:space="preserve"> </w:t>
      </w:r>
    </w:p>
    <w:p w14:paraId="6CDFAF1B" w14:textId="77777777" w:rsidR="004A2BDD" w:rsidRPr="003F3783" w:rsidRDefault="004A2BDD" w:rsidP="004A2BDD">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 (or leader in the case of a joint tender): </w:t>
      </w:r>
    </w:p>
    <w:p w14:paraId="5C4D9532"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276178B5"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61606D8D"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4B57A419"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79263B13" w14:textId="7452E5E8" w:rsidR="001050EE" w:rsidRDefault="004A2BDD" w:rsidP="00515888">
      <w:pPr>
        <w:spacing w:before="120" w:after="120"/>
        <w:ind w:left="1134" w:firstLine="142"/>
        <w:rPr>
          <w:sz w:val="22"/>
          <w:szCs w:val="22"/>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3C576A00"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44B672DA" w14:textId="73DB2351" w:rsidR="00771C02" w:rsidRPr="006015D0" w:rsidRDefault="001050EE" w:rsidP="00771C02">
      <w:pPr>
        <w:spacing w:before="120" w:after="120"/>
        <w:ind w:left="1134" w:hanging="567"/>
        <w:jc w:val="both"/>
        <w:rPr>
          <w:sz w:val="22"/>
          <w:szCs w:val="22"/>
        </w:rPr>
      </w:pPr>
      <w:r w:rsidRPr="004E0E24">
        <w:rPr>
          <w:bCs/>
          <w:sz w:val="22"/>
          <w:szCs w:val="22"/>
        </w:rPr>
        <w:lastRenderedPageBreak/>
        <w:t>5.2</w:t>
      </w:r>
      <w:r w:rsidR="009D279F" w:rsidRPr="004E0E24">
        <w:rPr>
          <w:sz w:val="22"/>
          <w:szCs w:val="22"/>
        </w:rPr>
        <w:tab/>
      </w:r>
      <w:r w:rsidR="00771C02" w:rsidRPr="00830C86">
        <w:rPr>
          <w:sz w:val="22"/>
          <w:szCs w:val="22"/>
        </w:rPr>
        <w:t xml:space="preserve">The power of the Supervisor and its representative is in compliance with Serbian legislation. The Supervisor shall be appointed under </w:t>
      </w:r>
      <w:r w:rsidR="00771C02" w:rsidRPr="00771C02">
        <w:rPr>
          <w:sz w:val="22"/>
          <w:szCs w:val="22"/>
        </w:rPr>
        <w:t>Appointment decision</w:t>
      </w:r>
      <w:r w:rsidR="00771C02" w:rsidRPr="00830C86">
        <w:rPr>
          <w:sz w:val="22"/>
          <w:szCs w:val="22"/>
        </w:rPr>
        <w:t xml:space="preserve">. </w:t>
      </w:r>
      <w:r w:rsidR="00771C02">
        <w:rPr>
          <w:sz w:val="22"/>
          <w:szCs w:val="22"/>
        </w:rPr>
        <w:t>S</w:t>
      </w:r>
      <w:r w:rsidR="00771C02" w:rsidRPr="00830C86">
        <w:rPr>
          <w:sz w:val="22"/>
          <w:szCs w:val="22"/>
        </w:rPr>
        <w:t>upervisor will be appointed by Contracting Authority in compliance with Law on planning and construction.</w:t>
      </w:r>
    </w:p>
    <w:p w14:paraId="2660FF5F" w14:textId="77777777" w:rsidR="00771C02" w:rsidRPr="006015D0" w:rsidRDefault="00771C02" w:rsidP="00771C02">
      <w:pPr>
        <w:spacing w:before="120" w:after="120"/>
        <w:ind w:left="1134" w:hanging="567"/>
        <w:jc w:val="both"/>
        <w:rPr>
          <w:sz w:val="22"/>
          <w:szCs w:val="22"/>
        </w:rPr>
      </w:pPr>
      <w:r w:rsidRPr="006015D0">
        <w:rPr>
          <w:bCs/>
          <w:sz w:val="22"/>
          <w:szCs w:val="22"/>
        </w:rPr>
        <w:t>5.3</w:t>
      </w:r>
      <w:r w:rsidRPr="006015D0">
        <w:rPr>
          <w:sz w:val="22"/>
          <w:szCs w:val="22"/>
        </w:rPr>
        <w:tab/>
      </w:r>
      <w:r w:rsidRPr="00830C86">
        <w:rPr>
          <w:sz w:val="22"/>
          <w:szCs w:val="22"/>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14:paraId="7231A1BF" w14:textId="77777777" w:rsidR="00771C02" w:rsidRPr="00F162E3" w:rsidRDefault="00771C02" w:rsidP="00771C02">
      <w:pPr>
        <w:spacing w:before="120" w:after="120"/>
        <w:ind w:left="1134" w:hanging="567"/>
        <w:jc w:val="both"/>
        <w:rPr>
          <w:color w:val="000000"/>
          <w:sz w:val="22"/>
          <w:szCs w:val="22"/>
        </w:rPr>
      </w:pPr>
      <w:r w:rsidRPr="006015D0">
        <w:rPr>
          <w:bCs/>
          <w:sz w:val="22"/>
          <w:szCs w:val="22"/>
        </w:rPr>
        <w:t>5.4</w:t>
      </w:r>
      <w:r w:rsidRPr="006015D0">
        <w:rPr>
          <w:sz w:val="22"/>
          <w:szCs w:val="22"/>
        </w:rPr>
        <w:tab/>
      </w:r>
      <w:r w:rsidRPr="00830C86">
        <w:rPr>
          <w:sz w:val="22"/>
          <w:szCs w:val="22"/>
        </w:rPr>
        <w:t>Instructions and/or orders issued in writing by the Supervisor shall be made in the compliance with Serbian Law on planning and construction and Rule book on manner and content of supervision of works. Orders, directions, observations of Supervisor related to perform any work under this contract shall be entered in the construction log book and stamped. All orders entered into the building log book Supervisor must deliver to the Contracting Authority in in writing and with filing number. All orders, of any kind, that Supervisor instructs the Contractor must be in writing. Verbal orders must, also, within three days be submitted in writing.</w:t>
      </w:r>
      <w:r>
        <w:rPr>
          <w:sz w:val="22"/>
          <w:szCs w:val="22"/>
        </w:rPr>
        <w:t xml:space="preserve"> </w:t>
      </w:r>
      <w:r w:rsidRPr="001F490E">
        <w:rPr>
          <w:sz w:val="22"/>
          <w:szCs w:val="22"/>
          <w:lang w:val="en-US"/>
        </w:rPr>
        <w:t>All administrative order by the Supervisor shall be issued in three copies, one for the Supervisor, one for the Contracting Authority and one for the Contractor.</w:t>
      </w:r>
    </w:p>
    <w:p w14:paraId="75170C1A" w14:textId="77777777" w:rsidR="00771C02" w:rsidRPr="002C2189" w:rsidRDefault="00771C02" w:rsidP="00771C02">
      <w:pPr>
        <w:spacing w:before="120" w:after="120"/>
        <w:ind w:left="1134" w:hanging="567"/>
        <w:jc w:val="both"/>
        <w:rPr>
          <w:b/>
          <w:bCs/>
          <w:sz w:val="22"/>
          <w:szCs w:val="22"/>
        </w:rPr>
      </w:pPr>
      <w:r>
        <w:rPr>
          <w:sz w:val="22"/>
          <w:szCs w:val="22"/>
        </w:rPr>
        <w:t xml:space="preserve">       </w:t>
      </w:r>
      <w:r w:rsidRPr="00830C86">
        <w:rPr>
          <w:sz w:val="22"/>
          <w:szCs w:val="22"/>
        </w:rPr>
        <w:t xml:space="preserve"> </w:t>
      </w:r>
      <w:r w:rsidRPr="002C2189">
        <w:rPr>
          <w:b/>
          <w:bCs/>
          <w:sz w:val="22"/>
          <w:szCs w:val="22"/>
        </w:rPr>
        <w:t>Written approval of Contracting Authority will be required whenever the Supervisor has to decide on quantity and/or quality of works, on any type of additional payment, and any extension of time or any other type of variation.</w:t>
      </w:r>
    </w:p>
    <w:p w14:paraId="7A933075" w14:textId="44A42944" w:rsidR="001050EE" w:rsidRPr="002B0018" w:rsidRDefault="001050EE" w:rsidP="00771C02">
      <w:pPr>
        <w:spacing w:before="120" w:after="120"/>
        <w:ind w:left="1134" w:hanging="567"/>
        <w:jc w:val="both"/>
        <w:rPr>
          <w:b/>
          <w:sz w:val="22"/>
          <w:szCs w:val="22"/>
        </w:rPr>
      </w:pPr>
      <w:bookmarkStart w:id="12" w:name="_Toc76894420"/>
      <w:r w:rsidRPr="00F162E3">
        <w:rPr>
          <w:b/>
          <w:sz w:val="22"/>
          <w:szCs w:val="22"/>
        </w:rPr>
        <w:t>Article 9</w:t>
      </w:r>
      <w:r w:rsidRPr="00F162E3">
        <w:rPr>
          <w:b/>
          <w:sz w:val="22"/>
          <w:szCs w:val="22"/>
        </w:rPr>
        <w:tab/>
      </w:r>
      <w:r w:rsidRPr="002B0018">
        <w:rPr>
          <w:b/>
          <w:sz w:val="22"/>
          <w:szCs w:val="22"/>
        </w:rPr>
        <w:t>Access to the site</w:t>
      </w:r>
      <w:bookmarkEnd w:id="12"/>
    </w:p>
    <w:p w14:paraId="7BB704B1" w14:textId="12FE53C6" w:rsidR="001050EE" w:rsidRPr="002B0018" w:rsidRDefault="001050EE" w:rsidP="003D764D">
      <w:pPr>
        <w:spacing w:before="120" w:after="120"/>
        <w:ind w:left="1134" w:hanging="567"/>
        <w:jc w:val="both"/>
        <w:rPr>
          <w:sz w:val="22"/>
          <w:szCs w:val="22"/>
        </w:rPr>
      </w:pPr>
      <w:r w:rsidRPr="002B0018">
        <w:rPr>
          <w:bCs/>
          <w:sz w:val="22"/>
          <w:szCs w:val="22"/>
        </w:rPr>
        <w:t>9.1</w:t>
      </w:r>
      <w:r w:rsidRPr="002B0018">
        <w:rPr>
          <w:sz w:val="22"/>
          <w:szCs w:val="22"/>
        </w:rPr>
        <w:tab/>
        <w:t xml:space="preserve">The </w:t>
      </w:r>
      <w:r w:rsidR="00E806A3" w:rsidRPr="002B0018">
        <w:rPr>
          <w:sz w:val="22"/>
          <w:szCs w:val="22"/>
        </w:rPr>
        <w:t>c</w:t>
      </w:r>
      <w:r w:rsidRPr="002B0018">
        <w:rPr>
          <w:sz w:val="22"/>
          <w:szCs w:val="22"/>
        </w:rPr>
        <w:t xml:space="preserve">ontractor is </w:t>
      </w:r>
      <w:r w:rsidR="008A27FD" w:rsidRPr="002B0018">
        <w:rPr>
          <w:sz w:val="22"/>
          <w:szCs w:val="22"/>
        </w:rPr>
        <w:t>reminded</w:t>
      </w:r>
      <w:r w:rsidRPr="002B0018">
        <w:rPr>
          <w:sz w:val="22"/>
          <w:szCs w:val="22"/>
        </w:rPr>
        <w:t xml:space="preserve"> that there is a </w:t>
      </w:r>
      <w:r w:rsidR="00E806A3" w:rsidRPr="002B0018">
        <w:rPr>
          <w:sz w:val="22"/>
          <w:szCs w:val="22"/>
        </w:rPr>
        <w:t>h</w:t>
      </w:r>
      <w:r w:rsidRPr="002B0018">
        <w:rPr>
          <w:sz w:val="22"/>
          <w:szCs w:val="22"/>
        </w:rPr>
        <w:t xml:space="preserve">ead of </w:t>
      </w:r>
      <w:r w:rsidR="00E806A3" w:rsidRPr="002B0018">
        <w:rPr>
          <w:sz w:val="22"/>
          <w:szCs w:val="22"/>
        </w:rPr>
        <w:t>d</w:t>
      </w:r>
      <w:r w:rsidRPr="002B0018">
        <w:rPr>
          <w:sz w:val="22"/>
          <w:szCs w:val="22"/>
        </w:rPr>
        <w:t xml:space="preserve">elegation of the European </w:t>
      </w:r>
      <w:r w:rsidR="0094402E" w:rsidRPr="002B0018">
        <w:rPr>
          <w:sz w:val="22"/>
          <w:szCs w:val="22"/>
        </w:rPr>
        <w:t>Union</w:t>
      </w:r>
      <w:r w:rsidRPr="002B0018">
        <w:rPr>
          <w:sz w:val="22"/>
          <w:szCs w:val="22"/>
        </w:rPr>
        <w:t xml:space="preserve"> in the state of the </w:t>
      </w:r>
      <w:r w:rsidR="00E806A3" w:rsidRPr="002B0018">
        <w:rPr>
          <w:sz w:val="22"/>
          <w:szCs w:val="22"/>
        </w:rPr>
        <w:t>c</w:t>
      </w:r>
      <w:r w:rsidRPr="002B0018">
        <w:rPr>
          <w:sz w:val="22"/>
          <w:szCs w:val="22"/>
        </w:rPr>
        <w:t xml:space="preserve">ontracting </w:t>
      </w:r>
      <w:r w:rsidR="00E806A3" w:rsidRPr="002B0018">
        <w:rPr>
          <w:sz w:val="22"/>
          <w:szCs w:val="22"/>
        </w:rPr>
        <w:t>a</w:t>
      </w:r>
      <w:r w:rsidRPr="002B0018">
        <w:rPr>
          <w:sz w:val="22"/>
          <w:szCs w:val="22"/>
        </w:rPr>
        <w:t xml:space="preserve">uthority. The </w:t>
      </w:r>
      <w:r w:rsidR="00E806A3" w:rsidRPr="002B0018">
        <w:rPr>
          <w:sz w:val="22"/>
          <w:szCs w:val="22"/>
        </w:rPr>
        <w:t>c</w:t>
      </w:r>
      <w:r w:rsidRPr="002B0018">
        <w:rPr>
          <w:sz w:val="22"/>
          <w:szCs w:val="22"/>
        </w:rPr>
        <w:t xml:space="preserve">ontractor is </w:t>
      </w:r>
      <w:r w:rsidR="00BD7E6E" w:rsidRPr="002B0018">
        <w:rPr>
          <w:sz w:val="22"/>
          <w:szCs w:val="22"/>
        </w:rPr>
        <w:t>obliged</w:t>
      </w:r>
      <w:r w:rsidRPr="002B0018">
        <w:rPr>
          <w:sz w:val="22"/>
          <w:szCs w:val="22"/>
        </w:rPr>
        <w:t xml:space="preserve"> to give the </w:t>
      </w:r>
      <w:r w:rsidR="00E806A3" w:rsidRPr="002B0018">
        <w:rPr>
          <w:sz w:val="22"/>
          <w:szCs w:val="22"/>
        </w:rPr>
        <w:t>h</w:t>
      </w:r>
      <w:r w:rsidRPr="002B0018">
        <w:rPr>
          <w:sz w:val="22"/>
          <w:szCs w:val="22"/>
        </w:rPr>
        <w:t xml:space="preserve">ead of </w:t>
      </w:r>
      <w:r w:rsidR="00E806A3" w:rsidRPr="002B0018">
        <w:rPr>
          <w:sz w:val="22"/>
          <w:szCs w:val="22"/>
        </w:rPr>
        <w:t>d</w:t>
      </w:r>
      <w:r w:rsidRPr="002B0018">
        <w:rPr>
          <w:sz w:val="22"/>
          <w:szCs w:val="22"/>
        </w:rPr>
        <w:t xml:space="preserve">elegation free access to its sites, factories, workshops, etc., and generally assist the </w:t>
      </w:r>
      <w:r w:rsidR="00E806A3" w:rsidRPr="002B0018">
        <w:rPr>
          <w:sz w:val="22"/>
          <w:szCs w:val="22"/>
        </w:rPr>
        <w:t>h</w:t>
      </w:r>
      <w:r w:rsidRPr="002B0018">
        <w:rPr>
          <w:sz w:val="22"/>
          <w:szCs w:val="22"/>
        </w:rPr>
        <w:t xml:space="preserve">ead of </w:t>
      </w:r>
      <w:r w:rsidR="00E806A3" w:rsidRPr="002B0018">
        <w:rPr>
          <w:sz w:val="22"/>
          <w:szCs w:val="22"/>
        </w:rPr>
        <w:t>d</w:t>
      </w:r>
      <w:r w:rsidRPr="002B0018">
        <w:rPr>
          <w:sz w:val="22"/>
          <w:szCs w:val="22"/>
        </w:rPr>
        <w:t xml:space="preserve">elegation, like the project </w:t>
      </w:r>
      <w:r w:rsidR="00E806A3" w:rsidRPr="002B0018">
        <w:rPr>
          <w:sz w:val="22"/>
          <w:szCs w:val="22"/>
        </w:rPr>
        <w:t>s</w:t>
      </w:r>
      <w:r w:rsidRPr="002B0018">
        <w:rPr>
          <w:sz w:val="22"/>
          <w:szCs w:val="22"/>
        </w:rPr>
        <w:t xml:space="preserve">upervisor, in the performance of his duties. The same provisions also apply to the appointed representatives of the </w:t>
      </w:r>
      <w:r w:rsidR="00E806A3" w:rsidRPr="002B0018">
        <w:rPr>
          <w:sz w:val="22"/>
          <w:szCs w:val="22"/>
        </w:rPr>
        <w:t>h</w:t>
      </w:r>
      <w:r w:rsidRPr="002B0018">
        <w:rPr>
          <w:sz w:val="22"/>
          <w:szCs w:val="22"/>
        </w:rPr>
        <w:t xml:space="preserve">ead of </w:t>
      </w:r>
      <w:r w:rsidR="00E806A3" w:rsidRPr="002B0018">
        <w:rPr>
          <w:sz w:val="22"/>
          <w:szCs w:val="22"/>
        </w:rPr>
        <w:t>d</w:t>
      </w:r>
      <w:r w:rsidRPr="002B0018">
        <w:rPr>
          <w:sz w:val="22"/>
          <w:szCs w:val="22"/>
        </w:rPr>
        <w:t>elegation.</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371F6549" w14:textId="77777777" w:rsidR="00040305" w:rsidRDefault="001A72CD" w:rsidP="00040305">
      <w:pPr>
        <w:spacing w:after="120"/>
        <w:ind w:left="1276" w:hanging="556"/>
        <w:jc w:val="both"/>
        <w:rPr>
          <w:bCs/>
          <w:sz w:val="22"/>
          <w:szCs w:val="22"/>
        </w:rPr>
      </w:pPr>
      <w:r>
        <w:rPr>
          <w:bCs/>
          <w:sz w:val="22"/>
          <w:szCs w:val="22"/>
        </w:rPr>
        <w:t>12.9</w:t>
      </w:r>
      <w:r>
        <w:rPr>
          <w:bCs/>
          <w:sz w:val="22"/>
          <w:szCs w:val="22"/>
        </w:rPr>
        <w:tab/>
      </w:r>
      <w:r w:rsidR="00040305" w:rsidRPr="00040305">
        <w:rPr>
          <w:bCs/>
          <w:sz w:val="22"/>
          <w:szCs w:val="22"/>
        </w:rPr>
        <w:t xml:space="preserve">The visibility measures must comply with rules laid down in the Communication and Visibility Manual for EU External Actions published by the European Commission - http://ec.europa.eu/europeaid/work/visibility/index_en.htm_en.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Interreg-IPA CBC Bulgaria-Serbia Programme, which are published on </w:t>
      </w:r>
      <w:bookmarkStart w:id="13" w:name="_Toc76894421"/>
      <w:r w:rsidR="00040305">
        <w:rPr>
          <w:bCs/>
          <w:sz w:val="22"/>
          <w:szCs w:val="22"/>
        </w:rPr>
        <w:fldChar w:fldCharType="begin"/>
      </w:r>
      <w:r w:rsidR="00040305">
        <w:rPr>
          <w:bCs/>
          <w:sz w:val="22"/>
          <w:szCs w:val="22"/>
        </w:rPr>
        <w:instrText>HYPERLINK "</w:instrText>
      </w:r>
      <w:r w:rsidR="00040305" w:rsidRPr="00040305">
        <w:rPr>
          <w:bCs/>
          <w:sz w:val="22"/>
          <w:szCs w:val="22"/>
        </w:rPr>
        <w:instrText>https://ipa-bgrs.mrrb.bg/</w:instrText>
      </w:r>
      <w:r w:rsidR="00040305">
        <w:rPr>
          <w:bCs/>
          <w:sz w:val="22"/>
          <w:szCs w:val="22"/>
        </w:rPr>
        <w:instrText>"</w:instrText>
      </w:r>
      <w:r w:rsidR="00040305">
        <w:rPr>
          <w:bCs/>
          <w:sz w:val="22"/>
          <w:szCs w:val="22"/>
        </w:rPr>
      </w:r>
      <w:r w:rsidR="00040305">
        <w:rPr>
          <w:bCs/>
          <w:sz w:val="22"/>
          <w:szCs w:val="22"/>
        </w:rPr>
        <w:fldChar w:fldCharType="separate"/>
      </w:r>
      <w:r w:rsidR="00040305" w:rsidRPr="003E355B">
        <w:rPr>
          <w:rStyle w:val="Hyperlink"/>
          <w:bCs/>
          <w:sz w:val="22"/>
          <w:szCs w:val="22"/>
        </w:rPr>
        <w:t>https://ipa-bgrs.mrrb.bg/</w:t>
      </w:r>
      <w:r w:rsidR="00040305">
        <w:rPr>
          <w:bCs/>
          <w:sz w:val="22"/>
          <w:szCs w:val="22"/>
        </w:rPr>
        <w:fldChar w:fldCharType="end"/>
      </w:r>
      <w:r w:rsidR="00040305">
        <w:rPr>
          <w:bCs/>
          <w:sz w:val="22"/>
          <w:szCs w:val="22"/>
        </w:rPr>
        <w:t xml:space="preserve"> </w:t>
      </w:r>
    </w:p>
    <w:p w14:paraId="58D20EB4" w14:textId="77777777" w:rsidR="00040305" w:rsidRDefault="00040305" w:rsidP="00040305">
      <w:pPr>
        <w:shd w:val="clear" w:color="auto" w:fill="FFFFFF"/>
        <w:spacing w:before="240" w:line="276" w:lineRule="auto"/>
        <w:ind w:left="1170" w:hanging="630"/>
        <w:jc w:val="both"/>
        <w:rPr>
          <w:b/>
          <w:sz w:val="22"/>
          <w:szCs w:val="22"/>
          <w:lang w:val="en-US"/>
        </w:rPr>
      </w:pPr>
      <w:r>
        <w:rPr>
          <w:sz w:val="22"/>
          <w:szCs w:val="22"/>
          <w:lang w:val="en-US"/>
        </w:rPr>
        <w:t>12.11.</w:t>
      </w:r>
      <w:r>
        <w:rPr>
          <w:b/>
          <w:sz w:val="22"/>
          <w:szCs w:val="22"/>
          <w:lang w:val="en-US"/>
        </w:rPr>
        <w:t xml:space="preserve"> </w:t>
      </w:r>
      <w:r>
        <w:rPr>
          <w:sz w:val="22"/>
          <w:szCs w:val="22"/>
          <w:lang w:val="en-US"/>
        </w:rPr>
        <w:t>The Contractor shall be responsible for the safekeeping of any formal documents relating to the works, according to Serbian Law of Planning and Construction.</w:t>
      </w:r>
    </w:p>
    <w:p w14:paraId="2FFD9358" w14:textId="77777777" w:rsidR="00040305" w:rsidRPr="00040305" w:rsidRDefault="00040305" w:rsidP="00040305">
      <w:pPr>
        <w:shd w:val="clear" w:color="auto" w:fill="FFFFFF"/>
        <w:spacing w:before="240" w:line="276" w:lineRule="auto"/>
        <w:ind w:left="1276" w:hanging="1276"/>
        <w:jc w:val="both"/>
        <w:rPr>
          <w:bCs/>
          <w:sz w:val="22"/>
          <w:szCs w:val="22"/>
        </w:rPr>
      </w:pPr>
      <w:r w:rsidRPr="00040305">
        <w:rPr>
          <w:bCs/>
          <w:sz w:val="22"/>
          <w:szCs w:val="22"/>
        </w:rPr>
        <w:t>Article 12c</w:t>
      </w:r>
      <w:r w:rsidRPr="00040305">
        <w:rPr>
          <w:bCs/>
          <w:sz w:val="22"/>
          <w:szCs w:val="22"/>
        </w:rPr>
        <w:tab/>
        <w:t>Design and building contracts</w:t>
      </w:r>
    </w:p>
    <w:p w14:paraId="2E0A6A71" w14:textId="77777777" w:rsidR="00040305" w:rsidRDefault="00040305" w:rsidP="00040305">
      <w:pPr>
        <w:shd w:val="clear" w:color="auto" w:fill="FFFFFF"/>
        <w:spacing w:before="120" w:after="120"/>
        <w:ind w:left="1276" w:hanging="709"/>
        <w:jc w:val="both"/>
        <w:rPr>
          <w:sz w:val="22"/>
          <w:szCs w:val="22"/>
        </w:rPr>
      </w:pPr>
      <w:r>
        <w:rPr>
          <w:sz w:val="22"/>
          <w:szCs w:val="22"/>
        </w:rPr>
        <w:t xml:space="preserve">              After sub article 12c1 add sub article 12c2</w:t>
      </w:r>
    </w:p>
    <w:p w14:paraId="60A231DD" w14:textId="77777777" w:rsidR="00040305" w:rsidRDefault="00040305" w:rsidP="00040305">
      <w:pPr>
        <w:shd w:val="clear" w:color="auto" w:fill="FFFFFF"/>
        <w:spacing w:after="120" w:line="276" w:lineRule="auto"/>
        <w:ind w:left="1276" w:hanging="556"/>
        <w:jc w:val="both"/>
        <w:rPr>
          <w:bCs/>
          <w:sz w:val="22"/>
          <w:szCs w:val="22"/>
        </w:rPr>
      </w:pPr>
      <w:r>
        <w:rPr>
          <w:sz w:val="22"/>
          <w:szCs w:val="22"/>
        </w:rPr>
        <w:t xml:space="preserve">          </w:t>
      </w:r>
      <w:r w:rsidRPr="0028609A">
        <w:rPr>
          <w:sz w:val="22"/>
          <w:szCs w:val="22"/>
        </w:rPr>
        <w:t>Contractor shall deliver to Supervisor and Contracting authority the following documents:     Construction diary and Construction book. A declaration on the responsible Contractor (</w:t>
      </w:r>
      <w:r w:rsidRPr="0028609A">
        <w:rPr>
          <w:sz w:val="22"/>
          <w:szCs w:val="22"/>
          <w:lang w:val="sr-Latn-RS"/>
        </w:rPr>
        <w:t>“</w:t>
      </w:r>
      <w:r w:rsidRPr="0028609A">
        <w:rPr>
          <w:sz w:val="22"/>
          <w:szCs w:val="22"/>
        </w:rPr>
        <w:t>odgovorni izvodjac radova”) under the Serbian Law on Planning and Construction.</w:t>
      </w:r>
    </w:p>
    <w:p w14:paraId="0E42192D" w14:textId="39C0DE5D" w:rsidR="001050EE" w:rsidRPr="003D764D" w:rsidRDefault="001050EE" w:rsidP="00040305">
      <w:pPr>
        <w:spacing w:after="120"/>
        <w:jc w:val="both"/>
        <w:rPr>
          <w:b/>
          <w:szCs w:val="24"/>
        </w:rPr>
      </w:pPr>
      <w:r w:rsidRPr="003D764D">
        <w:rPr>
          <w:b/>
          <w:szCs w:val="24"/>
        </w:rPr>
        <w:lastRenderedPageBreak/>
        <w:t>Article 15</w:t>
      </w:r>
      <w:r w:rsidRPr="003D764D">
        <w:rPr>
          <w:b/>
          <w:szCs w:val="24"/>
        </w:rPr>
        <w:tab/>
        <w:t>Performance guarantee</w:t>
      </w:r>
      <w:bookmarkEnd w:id="13"/>
    </w:p>
    <w:p w14:paraId="18CC94EA" w14:textId="3785380B" w:rsidR="00F15EFD"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887649" w:rsidRPr="0028609A">
        <w:rPr>
          <w:sz w:val="22"/>
          <w:szCs w:val="22"/>
        </w:rPr>
        <w:t>The amount of the performance guarantee will be 10</w:t>
      </w:r>
      <w:r w:rsidR="00887649" w:rsidRPr="0028609A">
        <w:rPr>
          <w:w w:val="50"/>
          <w:sz w:val="22"/>
          <w:szCs w:val="22"/>
        </w:rPr>
        <w:t> </w:t>
      </w:r>
      <w:r w:rsidR="00887649" w:rsidRPr="0028609A">
        <w:rPr>
          <w:sz w:val="22"/>
          <w:szCs w:val="22"/>
          <w:shd w:val="clear" w:color="auto" w:fill="FFFFFF"/>
        </w:rPr>
        <w:t>%</w:t>
      </w:r>
      <w:r w:rsidR="00887649" w:rsidRPr="0028609A">
        <w:rPr>
          <w:sz w:val="22"/>
          <w:szCs w:val="22"/>
        </w:rPr>
        <w:t xml:space="preserve"> of the amount of the contract and any addenda thereto</w:t>
      </w:r>
    </w:p>
    <w:p w14:paraId="77639C3B" w14:textId="77777777" w:rsidR="0015508C" w:rsidRDefault="0015508C" w:rsidP="0015508C">
      <w:pPr>
        <w:spacing w:before="120" w:after="120"/>
        <w:ind w:left="1276"/>
        <w:jc w:val="both"/>
        <w:rPr>
          <w:sz w:val="22"/>
          <w:szCs w:val="22"/>
        </w:rPr>
      </w:pPr>
      <w:r w:rsidRPr="0028609A">
        <w:rPr>
          <w:sz w:val="22"/>
          <w:szCs w:val="22"/>
        </w:rPr>
        <w:t>The performance guarantee sh</w:t>
      </w:r>
      <w:r w:rsidRPr="0028609A">
        <w:rPr>
          <w:sz w:val="22"/>
          <w:szCs w:val="22"/>
          <w:lang w:val="bg-BG"/>
        </w:rPr>
        <w:t>о</w:t>
      </w:r>
      <w:r w:rsidRPr="0028609A">
        <w:rPr>
          <w:sz w:val="22"/>
          <w:szCs w:val="22"/>
          <w:lang w:val="en-US"/>
        </w:rPr>
        <w:t xml:space="preserve">uld be </w:t>
      </w:r>
      <w:r w:rsidRPr="0028609A">
        <w:rPr>
          <w:sz w:val="22"/>
          <w:szCs w:val="22"/>
        </w:rPr>
        <w:t>provided in the form of a bank guarantee</w:t>
      </w:r>
      <w:r>
        <w:rPr>
          <w:sz w:val="22"/>
          <w:szCs w:val="22"/>
        </w:rPr>
        <w:t xml:space="preserve"> </w:t>
      </w:r>
      <w:r w:rsidRPr="0028609A">
        <w:rPr>
          <w:sz w:val="22"/>
          <w:szCs w:val="22"/>
        </w:rPr>
        <w:t>in favour of the Contracting authority, with authorization in the amount of 10% of the contracted value, with the clause unconditional and payable on the first call in the name of good performance of work</w:t>
      </w:r>
      <w:r>
        <w:rPr>
          <w:sz w:val="22"/>
          <w:szCs w:val="22"/>
        </w:rPr>
        <w:t>.</w:t>
      </w:r>
    </w:p>
    <w:p w14:paraId="04006AFF" w14:textId="4F4078B5" w:rsidR="0015508C" w:rsidRPr="0028609A" w:rsidRDefault="0015508C" w:rsidP="0015508C">
      <w:pPr>
        <w:spacing w:before="120" w:after="120"/>
        <w:ind w:left="1276"/>
        <w:jc w:val="both"/>
        <w:rPr>
          <w:b/>
          <w:bCs/>
          <w:sz w:val="22"/>
          <w:szCs w:val="22"/>
        </w:rPr>
      </w:pPr>
      <w:r w:rsidRPr="0028609A">
        <w:rPr>
          <w:b/>
          <w:bCs/>
          <w:sz w:val="22"/>
          <w:szCs w:val="22"/>
        </w:rPr>
        <w:t>The performance guarantee shall be delivered within 7 days of the conclusion of the Contract</w:t>
      </w:r>
    </w:p>
    <w:p w14:paraId="7B7986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02EA703" w14:textId="77777777" w:rsidR="00DF1072" w:rsidRDefault="009E24C9" w:rsidP="00DF1072">
      <w:pPr>
        <w:spacing w:before="120" w:after="120"/>
        <w:ind w:left="1276" w:hanging="709"/>
        <w:jc w:val="both"/>
        <w:rPr>
          <w:sz w:val="22"/>
          <w:szCs w:val="22"/>
        </w:rPr>
      </w:pPr>
      <w:r w:rsidRPr="00021EB3">
        <w:rPr>
          <w:sz w:val="22"/>
          <w:szCs w:val="22"/>
        </w:rPr>
        <w:t>21.4</w:t>
      </w:r>
      <w:r w:rsidRPr="00021EB3">
        <w:rPr>
          <w:sz w:val="22"/>
          <w:szCs w:val="22"/>
        </w:rPr>
        <w:tab/>
      </w:r>
      <w:bookmarkStart w:id="16" w:name="_Toc76894431"/>
      <w:r w:rsidR="00DF1072" w:rsidRPr="00DF1072">
        <w:rPr>
          <w:sz w:val="22"/>
          <w:szCs w:val="22"/>
        </w:rPr>
        <w:t>No derogation from General conditions</w:t>
      </w:r>
    </w:p>
    <w:p w14:paraId="0D6628A6" w14:textId="77777777" w:rsidR="00305BE7" w:rsidRDefault="00305BE7" w:rsidP="00DF1072">
      <w:pPr>
        <w:spacing w:before="120"/>
        <w:ind w:left="1267" w:hanging="1267"/>
        <w:jc w:val="both"/>
        <w:rPr>
          <w:b/>
          <w:szCs w:val="24"/>
        </w:rPr>
      </w:pPr>
      <w:bookmarkStart w:id="17" w:name="_Hlk504930224"/>
    </w:p>
    <w:p w14:paraId="320A0E0B" w14:textId="54BDB8C4" w:rsidR="00DF1072" w:rsidRDefault="00DF1072" w:rsidP="00DF1072">
      <w:pPr>
        <w:spacing w:before="120"/>
        <w:ind w:left="1267" w:hanging="1267"/>
        <w:jc w:val="both"/>
        <w:rPr>
          <w:b/>
          <w:snapToGrid/>
          <w:szCs w:val="24"/>
        </w:rPr>
      </w:pPr>
      <w:r>
        <w:rPr>
          <w:b/>
          <w:szCs w:val="24"/>
        </w:rPr>
        <w:t>Article 33</w:t>
      </w:r>
      <w:r>
        <w:rPr>
          <w:b/>
          <w:szCs w:val="24"/>
        </w:rPr>
        <w:tab/>
        <w:t xml:space="preserve"> Commencement order</w:t>
      </w:r>
    </w:p>
    <w:p w14:paraId="3E0D49D9" w14:textId="77777777" w:rsidR="00DF1072" w:rsidRDefault="00DF1072" w:rsidP="00DF1072">
      <w:pPr>
        <w:tabs>
          <w:tab w:val="left" w:pos="1170"/>
        </w:tabs>
        <w:spacing w:before="240" w:line="276" w:lineRule="auto"/>
        <w:ind w:left="1170" w:hanging="630"/>
        <w:jc w:val="both"/>
        <w:rPr>
          <w:bCs/>
          <w:sz w:val="22"/>
          <w:szCs w:val="22"/>
        </w:rPr>
      </w:pPr>
      <w:r>
        <w:rPr>
          <w:bCs/>
          <w:sz w:val="22"/>
          <w:szCs w:val="22"/>
        </w:rPr>
        <w:t>33.1</w:t>
      </w:r>
      <w:r>
        <w:rPr>
          <w:bCs/>
          <w:sz w:val="22"/>
          <w:szCs w:val="22"/>
        </w:rPr>
        <w:tab/>
        <w:t xml:space="preserve">The commencement date of the construction works is the date of giving access to the Site (according to Art. 148 of the Serbian Law on planning and construction i.e.  the introduction of contractors in the works contract which is evidenced in Construction Log by supervisor). </w:t>
      </w:r>
      <w:bookmarkEnd w:id="17"/>
    </w:p>
    <w:p w14:paraId="5A1DF1B5" w14:textId="77777777" w:rsidR="0015508C" w:rsidRDefault="0015508C" w:rsidP="00DF1072">
      <w:pPr>
        <w:tabs>
          <w:tab w:val="left" w:pos="1170"/>
        </w:tabs>
        <w:spacing w:before="240" w:line="276" w:lineRule="auto"/>
        <w:ind w:left="1170" w:hanging="630"/>
        <w:jc w:val="both"/>
        <w:rPr>
          <w:bCs/>
          <w:sz w:val="22"/>
          <w:szCs w:val="22"/>
        </w:rPr>
      </w:pPr>
    </w:p>
    <w:p w14:paraId="4B4913C3" w14:textId="5525078A" w:rsidR="001050EE" w:rsidRPr="00021EB3" w:rsidRDefault="001050EE" w:rsidP="00DF1072">
      <w:pPr>
        <w:spacing w:before="120" w:after="120"/>
        <w:jc w:val="both"/>
        <w:rPr>
          <w:b/>
          <w:szCs w:val="24"/>
        </w:rPr>
      </w:pPr>
      <w:r w:rsidRPr="00021EB3">
        <w:rPr>
          <w:b/>
          <w:szCs w:val="24"/>
        </w:rPr>
        <w:t>Article 34</w:t>
      </w:r>
      <w:r w:rsidRPr="00021EB3">
        <w:rPr>
          <w:b/>
          <w:szCs w:val="24"/>
        </w:rPr>
        <w:tab/>
        <w:t>Period of implementation of tasks</w:t>
      </w:r>
      <w:bookmarkEnd w:id="16"/>
    </w:p>
    <w:p w14:paraId="7568177E" w14:textId="7305B6A5" w:rsidR="001F319E" w:rsidRPr="00771C02" w:rsidRDefault="001050EE" w:rsidP="00771C02">
      <w:pPr>
        <w:pStyle w:val="Title"/>
        <w:ind w:left="1276" w:hanging="709"/>
        <w:jc w:val="both"/>
        <w:rPr>
          <w:rFonts w:ascii="Times New Roman" w:hAnsi="Times New Roman"/>
          <w:b w:val="0"/>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DF1072" w:rsidRPr="00DF1072">
        <w:rPr>
          <w:rFonts w:ascii="Times New Roman" w:hAnsi="Times New Roman"/>
          <w:b w:val="0"/>
          <w:sz w:val="22"/>
          <w:szCs w:val="22"/>
          <w:lang w:val="en-GB"/>
        </w:rPr>
        <w:t xml:space="preserve">The time for completion of the construction works is </w:t>
      </w:r>
      <w:r w:rsidR="00DF1072">
        <w:rPr>
          <w:rFonts w:ascii="Times New Roman" w:hAnsi="Times New Roman"/>
          <w:b w:val="0"/>
          <w:sz w:val="22"/>
          <w:szCs w:val="22"/>
          <w:lang w:val="en-GB"/>
        </w:rPr>
        <w:t>9</w:t>
      </w:r>
      <w:r w:rsidR="00DF1072" w:rsidRPr="00DF1072">
        <w:rPr>
          <w:rFonts w:ascii="Times New Roman" w:hAnsi="Times New Roman"/>
          <w:b w:val="0"/>
          <w:sz w:val="22"/>
          <w:szCs w:val="22"/>
          <w:lang w:val="en-GB"/>
        </w:rPr>
        <w:t>0/ninety/days from signing the contract</w:t>
      </w:r>
    </w:p>
    <w:p w14:paraId="7445FC99" w14:textId="089F2A94"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lastRenderedPageBreak/>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14:paraId="6101E573" w14:textId="77777777" w:rsidR="00DF1072" w:rsidRDefault="001050EE" w:rsidP="00DF1072">
      <w:pPr>
        <w:spacing w:before="120" w:after="120"/>
        <w:ind w:left="1276" w:hanging="709"/>
        <w:jc w:val="both"/>
        <w:rPr>
          <w:bCs/>
          <w:snapToGrid/>
          <w:sz w:val="22"/>
          <w:szCs w:val="22"/>
        </w:rPr>
      </w:pPr>
      <w:r w:rsidRPr="00A12DBD">
        <w:rPr>
          <w:bCs/>
          <w:sz w:val="22"/>
          <w:szCs w:val="22"/>
        </w:rPr>
        <w:t>39.1</w:t>
      </w:r>
      <w:r w:rsidRPr="00A12DBD">
        <w:rPr>
          <w:bCs/>
          <w:sz w:val="22"/>
          <w:szCs w:val="22"/>
        </w:rPr>
        <w:tab/>
      </w:r>
      <w:bookmarkStart w:id="20" w:name="_Toc76894435"/>
      <w:r w:rsidR="00DF1072">
        <w:rPr>
          <w:bCs/>
          <w:sz w:val="22"/>
          <w:szCs w:val="22"/>
        </w:rPr>
        <w:t>A work register shall, be kept on the site by the Contractor. Work register at least will contain the following:</w:t>
      </w:r>
    </w:p>
    <w:p w14:paraId="20CC5C33" w14:textId="77777777" w:rsidR="00DF1072" w:rsidRDefault="00DF1072" w:rsidP="00DF1072">
      <w:pPr>
        <w:spacing w:before="120" w:after="120"/>
        <w:ind w:left="1276"/>
        <w:jc w:val="both"/>
        <w:rPr>
          <w:bCs/>
          <w:sz w:val="22"/>
          <w:szCs w:val="22"/>
        </w:rPr>
      </w:pPr>
      <w:r>
        <w:rPr>
          <w:bCs/>
          <w:sz w:val="22"/>
          <w:szCs w:val="22"/>
        </w:rPr>
        <w:t>a) Construction Log (“Građevinski dnevnik”), according to the Serbian Law of Planning and Construction;</w:t>
      </w:r>
    </w:p>
    <w:p w14:paraId="5AF9C7D3" w14:textId="77777777" w:rsidR="00DF1072" w:rsidRDefault="00DF1072" w:rsidP="00DF1072">
      <w:pPr>
        <w:spacing w:before="120" w:after="120"/>
        <w:ind w:left="1276"/>
        <w:jc w:val="both"/>
        <w:rPr>
          <w:bCs/>
          <w:sz w:val="22"/>
          <w:szCs w:val="22"/>
        </w:rPr>
      </w:pPr>
      <w:r>
        <w:rPr>
          <w:bCs/>
          <w:sz w:val="22"/>
          <w:szCs w:val="22"/>
        </w:rPr>
        <w:t>b) Construction Book (“Građevinska knjiga”), according to the Serbian Law of Planning and Construction;</w:t>
      </w:r>
    </w:p>
    <w:p w14:paraId="3B73C571" w14:textId="77777777" w:rsidR="00DF1072" w:rsidRDefault="00DF1072" w:rsidP="00DF1072">
      <w:pPr>
        <w:spacing w:before="120" w:after="120"/>
        <w:ind w:left="1276"/>
        <w:jc w:val="both"/>
        <w:rPr>
          <w:sz w:val="22"/>
          <w:szCs w:val="22"/>
        </w:rPr>
      </w:pPr>
      <w:r>
        <w:rPr>
          <w:bCs/>
          <w:sz w:val="22"/>
          <w:szCs w:val="22"/>
        </w:rPr>
        <w:t>c) Inspection Book (“Knjiga inspekcije”), according to the Serbian Law of Planning and Construction.</w:t>
      </w:r>
    </w:p>
    <w:p w14:paraId="636A4715" w14:textId="77777777" w:rsidR="00DF1072" w:rsidRDefault="00DF1072" w:rsidP="00DF1072">
      <w:pPr>
        <w:spacing w:before="120" w:after="120"/>
        <w:ind w:left="1276" w:hanging="709"/>
        <w:jc w:val="both"/>
        <w:rPr>
          <w:bCs/>
          <w:sz w:val="22"/>
          <w:szCs w:val="22"/>
        </w:rPr>
      </w:pPr>
      <w:r>
        <w:rPr>
          <w:bCs/>
          <w:sz w:val="22"/>
          <w:szCs w:val="22"/>
        </w:rPr>
        <w:t>39.2</w:t>
      </w:r>
      <w:r>
        <w:rPr>
          <w:bCs/>
          <w:sz w:val="22"/>
          <w:szCs w:val="22"/>
        </w:rPr>
        <w:tab/>
      </w:r>
      <w:r>
        <w:rPr>
          <w:sz w:val="22"/>
          <w:szCs w:val="22"/>
        </w:rPr>
        <w:t>Technical rules for drawing up statements should be in accordance with Serbian Law on Planning and Construction.</w:t>
      </w:r>
    </w:p>
    <w:p w14:paraId="7FAA0711" w14:textId="7F35D1F5" w:rsidR="001050EE" w:rsidRPr="00116CA6" w:rsidRDefault="001050EE" w:rsidP="00DF1072">
      <w:pPr>
        <w:spacing w:before="120" w:after="120"/>
        <w:ind w:left="1276" w:hanging="709"/>
        <w:jc w:val="both"/>
        <w:rPr>
          <w:b/>
          <w:szCs w:val="24"/>
        </w:rPr>
      </w:pPr>
      <w:r w:rsidRPr="00116CA6">
        <w:rPr>
          <w:b/>
          <w:szCs w:val="24"/>
        </w:rPr>
        <w:t>Article 40</w:t>
      </w:r>
      <w:r w:rsidRPr="00116CA6">
        <w:rPr>
          <w:b/>
          <w:szCs w:val="24"/>
        </w:rPr>
        <w:tab/>
        <w:t>Origin and quality of works and materials</w:t>
      </w:r>
      <w:bookmarkEnd w:id="20"/>
    </w:p>
    <w:p w14:paraId="1937DF46" w14:textId="0FF49453" w:rsidR="00456C52" w:rsidRPr="00305BE7" w:rsidRDefault="001050EE" w:rsidP="00771C02">
      <w:pPr>
        <w:pStyle w:val="pointarticle"/>
        <w:numPr>
          <w:ilvl w:val="0"/>
          <w:numId w:val="0"/>
        </w:numPr>
        <w:ind w:left="1276" w:hanging="709"/>
        <w:rPr>
          <w:szCs w:val="22"/>
        </w:rPr>
      </w:pPr>
      <w:r w:rsidRPr="00C9743A">
        <w:rPr>
          <w:szCs w:val="22"/>
        </w:rPr>
        <w:t>40.1</w:t>
      </w:r>
      <w:r w:rsidRPr="00C9743A">
        <w:rPr>
          <w:szCs w:val="22"/>
        </w:rPr>
        <w:tab/>
      </w:r>
      <w:r w:rsidR="00456C52" w:rsidRPr="00305BE7">
        <w:rPr>
          <w:szCs w:val="22"/>
        </w:rPr>
        <w:t>All goods purchased under the contract must originate in any eligible source country as defined in</w:t>
      </w:r>
      <w:r w:rsidR="00607379" w:rsidRPr="00305BE7">
        <w:rPr>
          <w:szCs w:val="22"/>
        </w:rPr>
        <w:t xml:space="preserve"> the INSC Regulation 2021/948 of 27 May 2021</w:t>
      </w:r>
    </w:p>
    <w:p w14:paraId="014A629F"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305BE7">
        <w:rPr>
          <w:rFonts w:ascii="Times New Roman" w:hAnsi="Times New Roman"/>
          <w:b w:val="0"/>
          <w:sz w:val="22"/>
          <w:szCs w:val="22"/>
          <w:lang w:val="en-GB"/>
        </w:rPr>
        <w:t xml:space="preserve">For these purposes, </w:t>
      </w:r>
      <w:r w:rsidR="00E725FE" w:rsidRPr="00305BE7">
        <w:rPr>
          <w:rFonts w:ascii="Times New Roman" w:hAnsi="Times New Roman"/>
          <w:b w:val="0"/>
          <w:sz w:val="22"/>
          <w:szCs w:val="22"/>
          <w:lang w:val="en-GB"/>
        </w:rPr>
        <w:t>‘</w:t>
      </w:r>
      <w:r w:rsidRPr="00305BE7">
        <w:rPr>
          <w:rFonts w:ascii="Times New Roman" w:hAnsi="Times New Roman"/>
          <w:b w:val="0"/>
          <w:sz w:val="22"/>
          <w:szCs w:val="22"/>
          <w:lang w:val="en-GB"/>
        </w:rPr>
        <w:t>origin</w:t>
      </w:r>
      <w:r w:rsidR="00E725FE" w:rsidRPr="00305BE7">
        <w:rPr>
          <w:rFonts w:ascii="Times New Roman" w:hAnsi="Times New Roman"/>
          <w:b w:val="0"/>
          <w:sz w:val="22"/>
          <w:szCs w:val="22"/>
          <w:lang w:val="en-GB"/>
        </w:rPr>
        <w:t>’</w:t>
      </w:r>
      <w:r w:rsidRPr="00305BE7">
        <w:rPr>
          <w:rFonts w:ascii="Times New Roman" w:hAnsi="Times New Roman"/>
          <w:b w:val="0"/>
          <w:sz w:val="22"/>
          <w:szCs w:val="22"/>
          <w:lang w:val="en-GB"/>
        </w:rPr>
        <w:t xml:space="preserve"> means the place where the goods</w:t>
      </w:r>
      <w:r w:rsidRPr="00B52397">
        <w:rPr>
          <w:rFonts w:ascii="Times New Roman" w:hAnsi="Times New Roman"/>
          <w:b w:val="0"/>
          <w:sz w:val="22"/>
          <w:szCs w:val="22"/>
          <w:lang w:val="en-GB"/>
        </w:rPr>
        <w:t xml:space="preserve">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56FB61D5"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04E506DE"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10F4F1A3" w14:textId="77777777" w:rsidR="00DF1072" w:rsidRPr="006015D0" w:rsidRDefault="001050EE" w:rsidP="00DF1072">
      <w:pPr>
        <w:ind w:left="1701" w:hanging="425"/>
        <w:jc w:val="both"/>
        <w:rPr>
          <w:sz w:val="22"/>
          <w:szCs w:val="22"/>
        </w:rPr>
      </w:pPr>
      <w:r w:rsidRPr="00E725FE">
        <w:rPr>
          <w:sz w:val="22"/>
          <w:szCs w:val="22"/>
        </w:rPr>
        <w:t>(*)</w:t>
      </w:r>
      <w:r w:rsidR="00A12DBD">
        <w:rPr>
          <w:sz w:val="22"/>
          <w:szCs w:val="22"/>
        </w:rPr>
        <w:tab/>
      </w:r>
      <w:r w:rsidR="00DF1072" w:rsidRPr="006015D0">
        <w:rPr>
          <w:sz w:val="22"/>
          <w:szCs w:val="22"/>
        </w:rPr>
        <w:t xml:space="preserve">the following specifications </w:t>
      </w:r>
      <w:r w:rsidR="00DF1072">
        <w:rPr>
          <w:sz w:val="22"/>
          <w:szCs w:val="22"/>
        </w:rPr>
        <w:t>works and objects, equipment or materials used in their construction must comply as a minimum with the Technical Specifications, volume 3, part of the Contract.</w:t>
      </w:r>
    </w:p>
    <w:p w14:paraId="1FE6B3C3" w14:textId="77777777" w:rsidR="00DF1072" w:rsidRPr="006015D0" w:rsidRDefault="00DF1072" w:rsidP="00DF1072">
      <w:pPr>
        <w:ind w:left="1701" w:hanging="425"/>
        <w:jc w:val="both"/>
        <w:rPr>
          <w:sz w:val="22"/>
          <w:szCs w:val="22"/>
        </w:rPr>
      </w:pPr>
      <w:r w:rsidRPr="006015D0">
        <w:rPr>
          <w:sz w:val="22"/>
          <w:szCs w:val="22"/>
        </w:rPr>
        <w:t>(*)</w:t>
      </w:r>
      <w:r w:rsidRPr="006015D0">
        <w:rPr>
          <w:sz w:val="22"/>
          <w:szCs w:val="22"/>
        </w:rPr>
        <w:tab/>
        <w:t xml:space="preserve">the requirements of </w:t>
      </w:r>
      <w:r>
        <w:rPr>
          <w:sz w:val="22"/>
          <w:szCs w:val="22"/>
        </w:rPr>
        <w:t>the requirements of Serbian standards and codes according to Serbian Law of Planning and Construction.</w:t>
      </w:r>
    </w:p>
    <w:p w14:paraId="19057345" w14:textId="1CB4E862"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DF1072" w:rsidRPr="00DF1072">
        <w:rPr>
          <w:sz w:val="22"/>
          <w:szCs w:val="22"/>
        </w:rPr>
        <w:t>Preliminary technical acceptance is not necessary.</w:t>
      </w:r>
    </w:p>
    <w:p w14:paraId="0123CF4C" w14:textId="77777777"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2E3490B3" w14:textId="75BD481D"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DF1072">
        <w:rPr>
          <w:sz w:val="22"/>
          <w:szCs w:val="22"/>
        </w:rPr>
        <w:t>RSD</w:t>
      </w:r>
      <w:r w:rsidRPr="00A12DBD">
        <w:rPr>
          <w:sz w:val="22"/>
          <w:szCs w:val="22"/>
        </w:rPr>
        <w:t xml:space="preserve"> </w:t>
      </w:r>
    </w:p>
    <w:p w14:paraId="3254B693" w14:textId="3089634B" w:rsidR="00B47A2A" w:rsidRPr="00B47A2A" w:rsidRDefault="00B47A2A" w:rsidP="00DF1072">
      <w:pPr>
        <w:spacing w:before="120" w:after="120"/>
        <w:ind w:left="1276" w:hanging="709"/>
        <w:jc w:val="both"/>
        <w:rPr>
          <w:sz w:val="22"/>
          <w:szCs w:val="22"/>
        </w:rPr>
      </w:pPr>
      <w:r w:rsidRPr="00A12DBD">
        <w:rPr>
          <w:sz w:val="22"/>
          <w:szCs w:val="22"/>
        </w:rPr>
        <w:t>44.3</w:t>
      </w:r>
      <w:r w:rsidRPr="00A12DBD">
        <w:rPr>
          <w:sz w:val="22"/>
          <w:szCs w:val="22"/>
        </w:rPr>
        <w:tab/>
      </w:r>
      <w:r w:rsidRPr="00305BE7">
        <w:rPr>
          <w:sz w:val="22"/>
          <w:szCs w:val="22"/>
        </w:rPr>
        <w:t xml:space="preserve">By derogation, pre-financing payment to the </w:t>
      </w:r>
      <w:r w:rsidR="00E806A3" w:rsidRPr="00305BE7">
        <w:rPr>
          <w:sz w:val="22"/>
          <w:szCs w:val="22"/>
        </w:rPr>
        <w:t>c</w:t>
      </w:r>
      <w:r w:rsidRPr="00305BE7">
        <w:rPr>
          <w:sz w:val="22"/>
          <w:szCs w:val="22"/>
        </w:rPr>
        <w:t xml:space="preserve">ontractor for the lump-sum advance shall be made within 30 days. Other pre-financing payments to the </w:t>
      </w:r>
      <w:r w:rsidR="00E806A3" w:rsidRPr="00305BE7">
        <w:rPr>
          <w:sz w:val="22"/>
          <w:szCs w:val="22"/>
        </w:rPr>
        <w:t>c</w:t>
      </w:r>
      <w:r w:rsidRPr="00305BE7">
        <w:rPr>
          <w:sz w:val="22"/>
          <w:szCs w:val="22"/>
        </w:rPr>
        <w:t xml:space="preserve">ontractor shall be made within 90 days. Interim payments to the </w:t>
      </w:r>
      <w:r w:rsidR="00E806A3" w:rsidRPr="00305BE7">
        <w:rPr>
          <w:sz w:val="22"/>
          <w:szCs w:val="22"/>
        </w:rPr>
        <w:t>c</w:t>
      </w:r>
      <w:r w:rsidRPr="00305BE7">
        <w:rPr>
          <w:sz w:val="22"/>
          <w:szCs w:val="22"/>
        </w:rPr>
        <w:t xml:space="preserve">ontractor of the amounts due under each of the interim </w:t>
      </w:r>
      <w:r w:rsidRPr="00305BE7">
        <w:rPr>
          <w:sz w:val="22"/>
          <w:szCs w:val="22"/>
        </w:rPr>
        <w:lastRenderedPageBreak/>
        <w:t xml:space="preserve">payment certificates approved by the supervisor shall be made within </w:t>
      </w:r>
      <w:r w:rsidR="003A77FA" w:rsidRPr="00305BE7">
        <w:rPr>
          <w:sz w:val="22"/>
          <w:szCs w:val="22"/>
        </w:rPr>
        <w:t>9</w:t>
      </w:r>
      <w:r w:rsidRPr="00305BE7">
        <w:rPr>
          <w:sz w:val="22"/>
          <w:szCs w:val="22"/>
        </w:rPr>
        <w:t xml:space="preserve">0 days, and the final payment to the </w:t>
      </w:r>
      <w:r w:rsidR="00E806A3" w:rsidRPr="00305BE7">
        <w:rPr>
          <w:sz w:val="22"/>
          <w:szCs w:val="22"/>
        </w:rPr>
        <w:t>c</w:t>
      </w:r>
      <w:r w:rsidRPr="00305BE7">
        <w:rPr>
          <w:sz w:val="22"/>
          <w:szCs w:val="22"/>
        </w:rPr>
        <w:t xml:space="preserve">ontractor of the amounts due after the final statement of account issued by the </w:t>
      </w:r>
      <w:r w:rsidR="00E806A3" w:rsidRPr="00305BE7">
        <w:rPr>
          <w:sz w:val="22"/>
          <w:szCs w:val="22"/>
        </w:rPr>
        <w:t>s</w:t>
      </w:r>
      <w:r w:rsidRPr="00305BE7">
        <w:rPr>
          <w:sz w:val="22"/>
          <w:szCs w:val="22"/>
        </w:rPr>
        <w:t>upervisor shall be made within 90 days.</w:t>
      </w:r>
    </w:p>
    <w:p w14:paraId="78FF871B" w14:textId="77777777" w:rsidR="0077476F" w:rsidRDefault="0077476F" w:rsidP="00CE1910">
      <w:pPr>
        <w:ind w:left="1276"/>
        <w:jc w:val="both"/>
        <w:rPr>
          <w:sz w:val="22"/>
          <w:szCs w:val="22"/>
        </w:rPr>
      </w:pPr>
    </w:p>
    <w:p w14:paraId="7C9483E0" w14:textId="08AF12CD" w:rsidR="00B47A2A" w:rsidRPr="00CA6498" w:rsidRDefault="00B47A2A" w:rsidP="00DF1072">
      <w:pPr>
        <w:jc w:val="both"/>
        <w:rPr>
          <w:b/>
          <w:szCs w:val="24"/>
        </w:rPr>
      </w:pPr>
      <w:r w:rsidRPr="00CA6498">
        <w:rPr>
          <w:b/>
          <w:szCs w:val="24"/>
        </w:rPr>
        <w:t>Article 46</w:t>
      </w:r>
      <w:r w:rsidRPr="00CA6498">
        <w:rPr>
          <w:b/>
          <w:szCs w:val="24"/>
        </w:rPr>
        <w:tab/>
        <w:t>Pre-financing</w:t>
      </w:r>
    </w:p>
    <w:p w14:paraId="68941924"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14956228"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6D672332" w14:textId="77777777" w:rsidR="00772C2A" w:rsidRPr="0028609A" w:rsidRDefault="00772C2A" w:rsidP="00772C2A">
      <w:pPr>
        <w:keepNext/>
        <w:tabs>
          <w:tab w:val="left" w:pos="993"/>
        </w:tabs>
        <w:ind w:left="1276" w:hanging="709"/>
        <w:jc w:val="both"/>
        <w:rPr>
          <w:sz w:val="22"/>
          <w:szCs w:val="22"/>
        </w:rPr>
      </w:pPr>
      <w:bookmarkStart w:id="23" w:name="_Toc76894440"/>
      <w:r w:rsidRPr="006015D0">
        <w:rPr>
          <w:sz w:val="22"/>
          <w:szCs w:val="22"/>
        </w:rPr>
        <w:t>46.3(c)</w:t>
      </w:r>
      <w:r w:rsidRPr="006015D0">
        <w:rPr>
          <w:sz w:val="22"/>
          <w:szCs w:val="22"/>
        </w:rPr>
        <w:tab/>
      </w:r>
      <w:r>
        <w:rPr>
          <w:sz w:val="22"/>
          <w:szCs w:val="22"/>
        </w:rPr>
        <w:t xml:space="preserve"> No pre-financing shall be granted until </w:t>
      </w:r>
      <w:r w:rsidRPr="00B823D7">
        <w:rPr>
          <w:sz w:val="22"/>
          <w:szCs w:val="22"/>
        </w:rPr>
        <w:t>provision</w:t>
      </w:r>
      <w:r>
        <w:rPr>
          <w:sz w:val="22"/>
          <w:szCs w:val="22"/>
        </w:rPr>
        <w:t xml:space="preserve"> </w:t>
      </w:r>
      <w:r w:rsidRPr="00B823D7">
        <w:rPr>
          <w:sz w:val="22"/>
          <w:szCs w:val="22"/>
        </w:rPr>
        <w:t xml:space="preserve"> a financial </w:t>
      </w:r>
      <w:r w:rsidRPr="00C74B9F">
        <w:rPr>
          <w:b/>
          <w:bCs/>
          <w:sz w:val="22"/>
          <w:szCs w:val="22"/>
        </w:rPr>
        <w:t>bank guarantee</w:t>
      </w:r>
      <w:r>
        <w:rPr>
          <w:sz w:val="22"/>
          <w:szCs w:val="22"/>
        </w:rPr>
        <w:t xml:space="preserve"> </w:t>
      </w:r>
      <w:r w:rsidRPr="00B823D7">
        <w:rPr>
          <w:b/>
          <w:bCs/>
          <w:sz w:val="22"/>
          <w:szCs w:val="22"/>
        </w:rPr>
        <w:t>for the full amount of the pre-financing</w:t>
      </w:r>
      <w:r w:rsidRPr="00B823D7">
        <w:rPr>
          <w:sz w:val="22"/>
          <w:szCs w:val="22"/>
        </w:rPr>
        <w:t xml:space="preserve"> which shall remain effective until the pre-financing has been completely repaid by the contractor </w:t>
      </w:r>
      <w:r w:rsidRPr="0028609A">
        <w:rPr>
          <w:sz w:val="22"/>
          <w:szCs w:val="22"/>
        </w:rPr>
        <w:t>out of interim payments under the contract.</w:t>
      </w:r>
    </w:p>
    <w:p w14:paraId="28BE39CA" w14:textId="77777777" w:rsidR="00772C2A" w:rsidRDefault="00772C2A" w:rsidP="00772C2A">
      <w:pPr>
        <w:spacing w:before="120" w:after="120"/>
        <w:ind w:left="1276"/>
        <w:jc w:val="both"/>
        <w:rPr>
          <w:sz w:val="22"/>
          <w:szCs w:val="22"/>
        </w:rPr>
      </w:pPr>
      <w:r w:rsidRPr="0028609A">
        <w:rPr>
          <w:sz w:val="22"/>
          <w:szCs w:val="22"/>
        </w:rPr>
        <w:t>The pre-financing guarantee sh</w:t>
      </w:r>
      <w:r w:rsidRPr="0028609A">
        <w:rPr>
          <w:sz w:val="22"/>
          <w:szCs w:val="22"/>
          <w:lang w:val="bg-BG"/>
        </w:rPr>
        <w:t>о</w:t>
      </w:r>
      <w:r w:rsidRPr="0028609A">
        <w:rPr>
          <w:sz w:val="22"/>
          <w:szCs w:val="22"/>
          <w:lang w:val="en-US"/>
        </w:rPr>
        <w:t xml:space="preserve">uld be </w:t>
      </w:r>
      <w:r w:rsidRPr="0028609A">
        <w:rPr>
          <w:sz w:val="22"/>
          <w:szCs w:val="22"/>
        </w:rPr>
        <w:t xml:space="preserve">provided in the form of a bank guarantee, </w:t>
      </w:r>
      <w:r>
        <w:rPr>
          <w:sz w:val="22"/>
          <w:szCs w:val="22"/>
        </w:rPr>
        <w:t>on</w:t>
      </w:r>
      <w:r w:rsidRPr="004A773B">
        <w:rPr>
          <w:sz w:val="22"/>
          <w:szCs w:val="22"/>
        </w:rPr>
        <w:t xml:space="preserve"> </w:t>
      </w:r>
      <w:r w:rsidRPr="00B823D7">
        <w:rPr>
          <w:b/>
          <w:bCs/>
          <w:sz w:val="22"/>
          <w:szCs w:val="22"/>
        </w:rPr>
        <w:t>the full amount of the pre-financing</w:t>
      </w:r>
      <w:r w:rsidRPr="004A773B">
        <w:rPr>
          <w:sz w:val="22"/>
          <w:szCs w:val="22"/>
        </w:rPr>
        <w:t>, with the clause unconditional and payable on the first call</w:t>
      </w:r>
      <w:r>
        <w:rPr>
          <w:sz w:val="22"/>
          <w:szCs w:val="22"/>
        </w:rPr>
        <w:t>, before pre-financing payment</w:t>
      </w:r>
    </w:p>
    <w:p w14:paraId="24BBC158" w14:textId="77777777" w:rsidR="00772C2A" w:rsidRPr="00D71BDF" w:rsidRDefault="00772C2A" w:rsidP="00772C2A">
      <w:pPr>
        <w:spacing w:before="120" w:after="120"/>
        <w:ind w:left="1276" w:hanging="709"/>
        <w:jc w:val="both"/>
        <w:rPr>
          <w:i/>
          <w:iCs/>
          <w:sz w:val="22"/>
          <w:szCs w:val="22"/>
        </w:rPr>
      </w:pPr>
      <w:r w:rsidRPr="006015D0">
        <w:rPr>
          <w:bCs/>
          <w:sz w:val="22"/>
          <w:szCs w:val="22"/>
        </w:rPr>
        <w:t>46.8</w:t>
      </w:r>
      <w:r w:rsidRPr="006015D0">
        <w:rPr>
          <w:bCs/>
          <w:sz w:val="22"/>
          <w:szCs w:val="22"/>
        </w:rPr>
        <w:tab/>
      </w:r>
      <w:r w:rsidRPr="00B823D7">
        <w:rPr>
          <w:bCs/>
          <w:sz w:val="22"/>
          <w:szCs w:val="22"/>
        </w:rPr>
        <w:t xml:space="preserve">The advance </w:t>
      </w:r>
      <w:r>
        <w:rPr>
          <w:bCs/>
          <w:sz w:val="22"/>
          <w:szCs w:val="22"/>
        </w:rPr>
        <w:t xml:space="preserve">payment </w:t>
      </w:r>
      <w:r w:rsidRPr="00B823D7">
        <w:rPr>
          <w:bCs/>
          <w:sz w:val="22"/>
          <w:szCs w:val="22"/>
        </w:rPr>
        <w:t>must be justified with the last temporary situation</w:t>
      </w:r>
      <w:r>
        <w:rPr>
          <w:bCs/>
          <w:sz w:val="22"/>
          <w:szCs w:val="22"/>
        </w:rPr>
        <w:t xml:space="preserve"> (“</w:t>
      </w:r>
      <w:r w:rsidRPr="00D71BDF">
        <w:rPr>
          <w:bCs/>
          <w:i/>
          <w:iCs/>
          <w:sz w:val="22"/>
          <w:szCs w:val="22"/>
        </w:rPr>
        <w:t>Dati avans mora biti opravdan sa poslednjom privremenom situacijom”)</w:t>
      </w:r>
    </w:p>
    <w:p w14:paraId="694136A9" w14:textId="77777777" w:rsidR="001050EE" w:rsidRPr="00CA6498" w:rsidRDefault="001050EE" w:rsidP="00116CA6">
      <w:pPr>
        <w:spacing w:before="240"/>
        <w:ind w:left="1276" w:hanging="1276"/>
        <w:jc w:val="both"/>
        <w:rPr>
          <w:b/>
          <w:szCs w:val="24"/>
        </w:rPr>
      </w:pPr>
      <w:r w:rsidRPr="00CA6498">
        <w:rPr>
          <w:b/>
          <w:szCs w:val="24"/>
        </w:rPr>
        <w:t>Article 47</w:t>
      </w:r>
      <w:r w:rsidRPr="00CA6498">
        <w:rPr>
          <w:b/>
          <w:szCs w:val="24"/>
        </w:rPr>
        <w:tab/>
        <w:t>Retention monies</w:t>
      </w:r>
      <w:bookmarkEnd w:id="23"/>
    </w:p>
    <w:p w14:paraId="3914C78B" w14:textId="14078041" w:rsidR="00872A2E" w:rsidRPr="00CA6498" w:rsidRDefault="0083277B" w:rsidP="00527F31">
      <w:pPr>
        <w:spacing w:before="120" w:after="120"/>
        <w:ind w:left="1276" w:hanging="709"/>
        <w:jc w:val="both"/>
        <w:rPr>
          <w:bCs/>
          <w:sz w:val="22"/>
          <w:szCs w:val="22"/>
        </w:rPr>
      </w:pPr>
      <w:r>
        <w:rPr>
          <w:bCs/>
          <w:sz w:val="22"/>
          <w:szCs w:val="22"/>
        </w:rPr>
        <w:t>N/A</w:t>
      </w:r>
    </w:p>
    <w:p w14:paraId="6D37EC12"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83277B" w14:paraId="357493F7" w14:textId="77777777" w:rsidTr="00864DC4">
        <w:tc>
          <w:tcPr>
            <w:tcW w:w="533" w:type="dxa"/>
            <w:tcBorders>
              <w:top w:val="single" w:sz="4" w:space="0" w:color="auto"/>
              <w:left w:val="single" w:sz="4" w:space="0" w:color="auto"/>
              <w:bottom w:val="single" w:sz="4" w:space="0" w:color="auto"/>
              <w:right w:val="single" w:sz="4" w:space="0" w:color="auto"/>
            </w:tcBorders>
          </w:tcPr>
          <w:p w14:paraId="2E6671EE" w14:textId="77777777" w:rsidR="0083277B" w:rsidRDefault="0083277B" w:rsidP="00864DC4">
            <w:pPr>
              <w:spacing w:before="120" w:after="120"/>
              <w:jc w:val="center"/>
              <w:rPr>
                <w:b/>
                <w:sz w:val="22"/>
                <w:szCs w:val="22"/>
                <w:lang w:eastAsia="en-GB"/>
              </w:rPr>
            </w:pPr>
          </w:p>
        </w:tc>
        <w:tc>
          <w:tcPr>
            <w:tcW w:w="1276" w:type="dxa"/>
            <w:tcBorders>
              <w:top w:val="single" w:sz="4" w:space="0" w:color="auto"/>
              <w:left w:val="single" w:sz="4" w:space="0" w:color="auto"/>
              <w:bottom w:val="single" w:sz="4" w:space="0" w:color="auto"/>
              <w:right w:val="single" w:sz="4" w:space="0" w:color="auto"/>
            </w:tcBorders>
            <w:hideMark/>
          </w:tcPr>
          <w:p w14:paraId="2B2D7D4C" w14:textId="77777777" w:rsidR="0083277B" w:rsidRDefault="0083277B" w:rsidP="00864DC4">
            <w:pPr>
              <w:spacing w:before="120" w:after="120"/>
              <w:jc w:val="center"/>
              <w:rPr>
                <w:b/>
                <w:sz w:val="22"/>
                <w:szCs w:val="22"/>
                <w:lang w:eastAsia="en-GB"/>
              </w:rPr>
            </w:pPr>
            <w:r>
              <w:rPr>
                <w:b/>
                <w:sz w:val="22"/>
                <w:szCs w:val="22"/>
                <w:lang w:eastAsia="en-GB"/>
              </w:rPr>
              <w:t>Percentage</w:t>
            </w:r>
          </w:p>
        </w:tc>
        <w:tc>
          <w:tcPr>
            <w:tcW w:w="2552" w:type="dxa"/>
            <w:tcBorders>
              <w:top w:val="single" w:sz="4" w:space="0" w:color="auto"/>
              <w:left w:val="single" w:sz="4" w:space="0" w:color="auto"/>
              <w:bottom w:val="single" w:sz="4" w:space="0" w:color="auto"/>
              <w:right w:val="single" w:sz="4" w:space="0" w:color="auto"/>
            </w:tcBorders>
            <w:hideMark/>
          </w:tcPr>
          <w:p w14:paraId="0B2C8B2E" w14:textId="77777777" w:rsidR="0083277B" w:rsidRDefault="0083277B" w:rsidP="00864DC4">
            <w:pPr>
              <w:spacing w:before="120" w:after="120"/>
              <w:jc w:val="center"/>
              <w:rPr>
                <w:b/>
                <w:sz w:val="22"/>
                <w:szCs w:val="22"/>
                <w:lang w:eastAsia="en-GB"/>
              </w:rPr>
            </w:pPr>
            <w:r>
              <w:rPr>
                <w:b/>
                <w:sz w:val="22"/>
                <w:szCs w:val="22"/>
                <w:lang w:eastAsia="en-GB"/>
              </w:rPr>
              <w:t>Nature</w:t>
            </w:r>
          </w:p>
        </w:tc>
        <w:tc>
          <w:tcPr>
            <w:tcW w:w="3890" w:type="dxa"/>
            <w:tcBorders>
              <w:top w:val="single" w:sz="4" w:space="0" w:color="auto"/>
              <w:left w:val="single" w:sz="4" w:space="0" w:color="auto"/>
              <w:bottom w:val="single" w:sz="4" w:space="0" w:color="auto"/>
              <w:right w:val="single" w:sz="4" w:space="0" w:color="auto"/>
            </w:tcBorders>
            <w:hideMark/>
          </w:tcPr>
          <w:p w14:paraId="46E40A86" w14:textId="77777777" w:rsidR="0083277B" w:rsidRDefault="0083277B" w:rsidP="00864DC4">
            <w:pPr>
              <w:spacing w:before="120" w:after="120"/>
              <w:jc w:val="center"/>
              <w:rPr>
                <w:b/>
                <w:sz w:val="22"/>
                <w:szCs w:val="22"/>
                <w:lang w:eastAsia="en-GB"/>
              </w:rPr>
            </w:pPr>
            <w:r>
              <w:rPr>
                <w:b/>
                <w:sz w:val="22"/>
                <w:szCs w:val="22"/>
                <w:lang w:eastAsia="en-GB"/>
              </w:rPr>
              <w:t>Timing</w:t>
            </w:r>
          </w:p>
        </w:tc>
      </w:tr>
      <w:tr w:rsidR="0083277B" w14:paraId="762D71D4" w14:textId="77777777" w:rsidTr="00864DC4">
        <w:tc>
          <w:tcPr>
            <w:tcW w:w="533" w:type="dxa"/>
            <w:tcBorders>
              <w:top w:val="single" w:sz="4" w:space="0" w:color="auto"/>
              <w:left w:val="single" w:sz="4" w:space="0" w:color="auto"/>
              <w:bottom w:val="single" w:sz="4" w:space="0" w:color="auto"/>
              <w:right w:val="single" w:sz="4" w:space="0" w:color="auto"/>
            </w:tcBorders>
            <w:hideMark/>
          </w:tcPr>
          <w:p w14:paraId="545D4A0A" w14:textId="77777777" w:rsidR="0083277B" w:rsidRDefault="0083277B" w:rsidP="00864DC4">
            <w:pPr>
              <w:spacing w:before="120" w:after="120"/>
              <w:jc w:val="both"/>
              <w:rPr>
                <w:sz w:val="22"/>
                <w:szCs w:val="22"/>
                <w:lang w:eastAsia="en-GB"/>
              </w:rPr>
            </w:pPr>
            <w:r>
              <w:rPr>
                <w:sz w:val="22"/>
                <w:szCs w:val="22"/>
                <w:lang w:eastAsia="en-GB"/>
              </w:rPr>
              <w:t>1.</w:t>
            </w:r>
          </w:p>
        </w:tc>
        <w:tc>
          <w:tcPr>
            <w:tcW w:w="1276" w:type="dxa"/>
            <w:tcBorders>
              <w:top w:val="single" w:sz="4" w:space="0" w:color="auto"/>
              <w:left w:val="single" w:sz="4" w:space="0" w:color="auto"/>
              <w:bottom w:val="single" w:sz="4" w:space="0" w:color="auto"/>
              <w:right w:val="single" w:sz="4" w:space="0" w:color="auto"/>
            </w:tcBorders>
            <w:hideMark/>
          </w:tcPr>
          <w:p w14:paraId="19EE3D46" w14:textId="77777777" w:rsidR="0083277B" w:rsidRPr="005D7FA3" w:rsidRDefault="0083277B" w:rsidP="00864DC4">
            <w:pPr>
              <w:spacing w:before="120" w:after="120"/>
              <w:jc w:val="right"/>
              <w:rPr>
                <w:sz w:val="22"/>
                <w:szCs w:val="22"/>
                <w:lang w:eastAsia="en-GB"/>
              </w:rPr>
            </w:pPr>
            <w:r w:rsidRPr="005D7FA3">
              <w:rPr>
                <w:sz w:val="22"/>
                <w:szCs w:val="22"/>
                <w:lang w:eastAsia="en-GB"/>
              </w:rPr>
              <w:t>Max 20%</w:t>
            </w:r>
          </w:p>
        </w:tc>
        <w:tc>
          <w:tcPr>
            <w:tcW w:w="2552" w:type="dxa"/>
            <w:tcBorders>
              <w:top w:val="single" w:sz="4" w:space="0" w:color="auto"/>
              <w:left w:val="single" w:sz="4" w:space="0" w:color="auto"/>
              <w:bottom w:val="single" w:sz="4" w:space="0" w:color="auto"/>
              <w:right w:val="single" w:sz="4" w:space="0" w:color="auto"/>
            </w:tcBorders>
            <w:hideMark/>
          </w:tcPr>
          <w:p w14:paraId="63B15F86" w14:textId="77777777" w:rsidR="0083277B" w:rsidRPr="005D7FA3" w:rsidRDefault="0083277B" w:rsidP="00864DC4">
            <w:pPr>
              <w:spacing w:before="120" w:after="120"/>
              <w:jc w:val="both"/>
              <w:rPr>
                <w:sz w:val="22"/>
                <w:szCs w:val="22"/>
                <w:lang w:eastAsia="en-GB"/>
              </w:rPr>
            </w:pPr>
            <w:r w:rsidRPr="005D7FA3">
              <w:rPr>
                <w:sz w:val="22"/>
                <w:szCs w:val="22"/>
                <w:lang w:eastAsia="en-GB"/>
              </w:rPr>
              <w:t>Lump-sum advance of Article 46.1(a)</w:t>
            </w:r>
          </w:p>
        </w:tc>
        <w:tc>
          <w:tcPr>
            <w:tcW w:w="3890" w:type="dxa"/>
            <w:tcBorders>
              <w:top w:val="single" w:sz="4" w:space="0" w:color="auto"/>
              <w:left w:val="single" w:sz="4" w:space="0" w:color="auto"/>
              <w:bottom w:val="single" w:sz="4" w:space="0" w:color="auto"/>
              <w:right w:val="single" w:sz="4" w:space="0" w:color="auto"/>
            </w:tcBorders>
            <w:hideMark/>
          </w:tcPr>
          <w:p w14:paraId="26AA8141" w14:textId="6C1423CB" w:rsidR="0083277B" w:rsidRPr="005D7FA3" w:rsidRDefault="0083277B" w:rsidP="00864DC4">
            <w:pPr>
              <w:spacing w:before="120" w:after="120"/>
              <w:jc w:val="both"/>
              <w:rPr>
                <w:sz w:val="22"/>
                <w:szCs w:val="22"/>
                <w:lang w:eastAsia="en-GB"/>
              </w:rPr>
            </w:pPr>
            <w:r w:rsidRPr="005D7FA3">
              <w:rPr>
                <w:sz w:val="22"/>
                <w:szCs w:val="22"/>
                <w:lang w:eastAsia="en-GB"/>
              </w:rPr>
              <w:t>After conclusion of the contract and provision of pre-financing guarantee</w:t>
            </w:r>
            <w:r w:rsidR="00756CB4">
              <w:rPr>
                <w:sz w:val="22"/>
                <w:szCs w:val="22"/>
                <w:lang w:eastAsia="en-GB"/>
              </w:rPr>
              <w:t xml:space="preserve"> </w:t>
            </w:r>
            <w:r w:rsidR="00756CB4" w:rsidRPr="00756CB4">
              <w:rPr>
                <w:sz w:val="22"/>
                <w:szCs w:val="22"/>
                <w:lang w:eastAsia="en-GB"/>
              </w:rPr>
              <w:t>in the amount of the advance payment</w:t>
            </w:r>
            <w:r w:rsidR="00756CB4">
              <w:rPr>
                <w:sz w:val="22"/>
                <w:szCs w:val="22"/>
                <w:lang w:eastAsia="en-GB"/>
              </w:rPr>
              <w:t xml:space="preserve">. </w:t>
            </w:r>
          </w:p>
        </w:tc>
      </w:tr>
      <w:tr w:rsidR="0083277B" w14:paraId="5F1F1EDF" w14:textId="77777777" w:rsidTr="00864DC4">
        <w:tc>
          <w:tcPr>
            <w:tcW w:w="533" w:type="dxa"/>
            <w:tcBorders>
              <w:top w:val="single" w:sz="4" w:space="0" w:color="auto"/>
              <w:left w:val="single" w:sz="4" w:space="0" w:color="auto"/>
              <w:bottom w:val="single" w:sz="4" w:space="0" w:color="auto"/>
              <w:right w:val="single" w:sz="4" w:space="0" w:color="auto"/>
            </w:tcBorders>
            <w:hideMark/>
          </w:tcPr>
          <w:p w14:paraId="4874BC57" w14:textId="77777777" w:rsidR="0083277B" w:rsidRDefault="0083277B" w:rsidP="00864DC4">
            <w:pPr>
              <w:spacing w:before="120" w:after="120"/>
              <w:jc w:val="both"/>
              <w:rPr>
                <w:sz w:val="22"/>
                <w:szCs w:val="22"/>
                <w:lang w:eastAsia="en-GB"/>
              </w:rPr>
            </w:pPr>
            <w:r>
              <w:rPr>
                <w:sz w:val="22"/>
                <w:szCs w:val="22"/>
                <w:lang w:eastAsia="en-GB"/>
              </w:rPr>
              <w:t>2.</w:t>
            </w:r>
          </w:p>
        </w:tc>
        <w:tc>
          <w:tcPr>
            <w:tcW w:w="1276" w:type="dxa"/>
            <w:tcBorders>
              <w:top w:val="single" w:sz="4" w:space="0" w:color="auto"/>
              <w:left w:val="single" w:sz="4" w:space="0" w:color="auto"/>
              <w:bottom w:val="single" w:sz="4" w:space="0" w:color="auto"/>
              <w:right w:val="single" w:sz="4" w:space="0" w:color="auto"/>
            </w:tcBorders>
            <w:hideMark/>
          </w:tcPr>
          <w:p w14:paraId="416A25DB" w14:textId="77777777" w:rsidR="0083277B" w:rsidRPr="005D7FA3" w:rsidRDefault="0083277B" w:rsidP="00864DC4">
            <w:pPr>
              <w:spacing w:before="120" w:after="120"/>
              <w:jc w:val="right"/>
              <w:rPr>
                <w:sz w:val="22"/>
                <w:szCs w:val="22"/>
                <w:lang w:eastAsia="en-GB"/>
              </w:rPr>
            </w:pPr>
            <w:r w:rsidRPr="005D7FA3">
              <w:rPr>
                <w:sz w:val="22"/>
                <w:szCs w:val="22"/>
                <w:lang w:eastAsia="en-GB"/>
              </w:rPr>
              <w:t xml:space="preserve"> Max 70 %</w:t>
            </w:r>
          </w:p>
        </w:tc>
        <w:tc>
          <w:tcPr>
            <w:tcW w:w="2552" w:type="dxa"/>
            <w:tcBorders>
              <w:top w:val="single" w:sz="4" w:space="0" w:color="auto"/>
              <w:left w:val="single" w:sz="4" w:space="0" w:color="auto"/>
              <w:bottom w:val="single" w:sz="4" w:space="0" w:color="auto"/>
              <w:right w:val="single" w:sz="4" w:space="0" w:color="auto"/>
            </w:tcBorders>
            <w:hideMark/>
          </w:tcPr>
          <w:p w14:paraId="203B0AA4" w14:textId="77777777" w:rsidR="0083277B" w:rsidRPr="005D7FA3" w:rsidRDefault="0083277B" w:rsidP="00864DC4">
            <w:pPr>
              <w:spacing w:before="120" w:after="120"/>
              <w:jc w:val="both"/>
              <w:rPr>
                <w:sz w:val="22"/>
                <w:szCs w:val="22"/>
                <w:lang w:eastAsia="en-GB"/>
              </w:rPr>
            </w:pPr>
            <w:r w:rsidRPr="005D7FA3">
              <w:rPr>
                <w:sz w:val="22"/>
                <w:szCs w:val="22"/>
                <w:lang w:eastAsia="en-GB"/>
              </w:rPr>
              <w:t>Interim payment of Article 50</w:t>
            </w:r>
          </w:p>
        </w:tc>
        <w:tc>
          <w:tcPr>
            <w:tcW w:w="3890" w:type="dxa"/>
            <w:tcBorders>
              <w:top w:val="single" w:sz="4" w:space="0" w:color="auto"/>
              <w:left w:val="single" w:sz="4" w:space="0" w:color="auto"/>
              <w:bottom w:val="single" w:sz="4" w:space="0" w:color="auto"/>
              <w:right w:val="single" w:sz="4" w:space="0" w:color="auto"/>
            </w:tcBorders>
            <w:hideMark/>
          </w:tcPr>
          <w:p w14:paraId="14140561" w14:textId="77777777" w:rsidR="0083277B" w:rsidRPr="005D7FA3" w:rsidRDefault="0083277B" w:rsidP="00864DC4">
            <w:pPr>
              <w:spacing w:before="120" w:after="120"/>
              <w:jc w:val="both"/>
              <w:rPr>
                <w:sz w:val="22"/>
                <w:szCs w:val="22"/>
                <w:lang w:eastAsia="en-GB"/>
              </w:rPr>
            </w:pPr>
            <w:r w:rsidRPr="005D7FA3">
              <w:rPr>
                <w:sz w:val="22"/>
                <w:szCs w:val="22"/>
              </w:rPr>
              <w:t>After submission of all necessary documents regarding the First temporary situation (“</w:t>
            </w:r>
            <w:r w:rsidRPr="005D7FA3">
              <w:rPr>
                <w:sz w:val="22"/>
                <w:szCs w:val="22"/>
                <w:lang w:val="sr-Latn-RS"/>
              </w:rPr>
              <w:t>prva privremena situacija</w:t>
            </w:r>
            <w:r w:rsidRPr="005D7FA3">
              <w:rPr>
                <w:sz w:val="22"/>
                <w:szCs w:val="22"/>
              </w:rPr>
              <w:t>”) upon the 45days of the contract implementation, with the approval of Supervisor, as a proof of the performed works, with up to 90% of the contract value and in accordance with the executed works.</w:t>
            </w:r>
          </w:p>
        </w:tc>
      </w:tr>
      <w:tr w:rsidR="0083277B" w14:paraId="4809E4FF" w14:textId="77777777" w:rsidTr="00864DC4">
        <w:tc>
          <w:tcPr>
            <w:tcW w:w="533" w:type="dxa"/>
            <w:tcBorders>
              <w:top w:val="single" w:sz="4" w:space="0" w:color="auto"/>
              <w:left w:val="single" w:sz="4" w:space="0" w:color="auto"/>
              <w:bottom w:val="single" w:sz="4" w:space="0" w:color="auto"/>
              <w:right w:val="single" w:sz="4" w:space="0" w:color="auto"/>
            </w:tcBorders>
            <w:hideMark/>
          </w:tcPr>
          <w:p w14:paraId="47F03989" w14:textId="77777777" w:rsidR="0083277B" w:rsidRDefault="0083277B" w:rsidP="00864DC4">
            <w:pPr>
              <w:spacing w:before="120" w:after="120"/>
              <w:jc w:val="both"/>
              <w:rPr>
                <w:sz w:val="22"/>
                <w:szCs w:val="22"/>
                <w:lang w:eastAsia="en-GB"/>
              </w:rPr>
            </w:pPr>
            <w:r>
              <w:rPr>
                <w:sz w:val="22"/>
                <w:szCs w:val="22"/>
                <w:lang w:eastAsia="en-GB"/>
              </w:rPr>
              <w:t>Final</w:t>
            </w:r>
          </w:p>
        </w:tc>
        <w:tc>
          <w:tcPr>
            <w:tcW w:w="1276" w:type="dxa"/>
            <w:tcBorders>
              <w:top w:val="single" w:sz="4" w:space="0" w:color="auto"/>
              <w:left w:val="single" w:sz="4" w:space="0" w:color="auto"/>
              <w:bottom w:val="single" w:sz="4" w:space="0" w:color="auto"/>
              <w:right w:val="single" w:sz="4" w:space="0" w:color="auto"/>
            </w:tcBorders>
            <w:hideMark/>
          </w:tcPr>
          <w:p w14:paraId="65DC2584" w14:textId="77777777" w:rsidR="0083277B" w:rsidRPr="005D7FA3" w:rsidRDefault="0083277B" w:rsidP="00864DC4">
            <w:pPr>
              <w:spacing w:before="120" w:after="120"/>
              <w:jc w:val="right"/>
              <w:rPr>
                <w:sz w:val="22"/>
                <w:szCs w:val="22"/>
                <w:lang w:eastAsia="en-GB"/>
              </w:rPr>
            </w:pPr>
            <w:r w:rsidRPr="005D7FA3">
              <w:rPr>
                <w:sz w:val="22"/>
                <w:szCs w:val="22"/>
                <w:lang w:eastAsia="en-GB"/>
              </w:rPr>
              <w:t>Min 10%</w:t>
            </w:r>
          </w:p>
        </w:tc>
        <w:tc>
          <w:tcPr>
            <w:tcW w:w="2552" w:type="dxa"/>
            <w:tcBorders>
              <w:top w:val="single" w:sz="4" w:space="0" w:color="auto"/>
              <w:left w:val="single" w:sz="4" w:space="0" w:color="auto"/>
              <w:bottom w:val="single" w:sz="4" w:space="0" w:color="auto"/>
              <w:right w:val="single" w:sz="4" w:space="0" w:color="auto"/>
            </w:tcBorders>
            <w:hideMark/>
          </w:tcPr>
          <w:p w14:paraId="4998369C" w14:textId="77777777" w:rsidR="0083277B" w:rsidRPr="005D7FA3" w:rsidRDefault="0083277B" w:rsidP="00864DC4">
            <w:pPr>
              <w:spacing w:before="120" w:after="120"/>
              <w:jc w:val="both"/>
              <w:rPr>
                <w:sz w:val="22"/>
                <w:szCs w:val="22"/>
                <w:lang w:eastAsia="en-GB"/>
              </w:rPr>
            </w:pPr>
            <w:r w:rsidRPr="005D7FA3">
              <w:rPr>
                <w:sz w:val="22"/>
                <w:szCs w:val="22"/>
                <w:lang w:eastAsia="en-GB"/>
              </w:rPr>
              <w:t>Final payment</w:t>
            </w:r>
          </w:p>
        </w:tc>
        <w:tc>
          <w:tcPr>
            <w:tcW w:w="3890" w:type="dxa"/>
            <w:tcBorders>
              <w:top w:val="single" w:sz="4" w:space="0" w:color="auto"/>
              <w:left w:val="single" w:sz="4" w:space="0" w:color="auto"/>
              <w:bottom w:val="single" w:sz="4" w:space="0" w:color="auto"/>
              <w:right w:val="single" w:sz="4" w:space="0" w:color="auto"/>
            </w:tcBorders>
            <w:hideMark/>
          </w:tcPr>
          <w:p w14:paraId="6F73C999" w14:textId="77777777" w:rsidR="0083277B" w:rsidRPr="005D7FA3" w:rsidRDefault="0083277B" w:rsidP="00864DC4">
            <w:pPr>
              <w:spacing w:before="120" w:after="120"/>
              <w:jc w:val="both"/>
              <w:rPr>
                <w:sz w:val="22"/>
                <w:szCs w:val="22"/>
                <w:lang w:eastAsia="en-GB"/>
              </w:rPr>
            </w:pPr>
            <w:r w:rsidRPr="005D7FA3">
              <w:rPr>
                <w:sz w:val="22"/>
                <w:szCs w:val="22"/>
                <w:lang w:eastAsia="en-GB"/>
              </w:rPr>
              <w:t xml:space="preserve">After </w:t>
            </w:r>
            <w:r w:rsidRPr="005D7FA3">
              <w:rPr>
                <w:sz w:val="22"/>
                <w:szCs w:val="22"/>
              </w:rPr>
              <w:t xml:space="preserve">finalization of works, the positive technical acceptance of works, the supervisor approval and the issuance of </w:t>
            </w:r>
            <w:r w:rsidRPr="005D7FA3">
              <w:rPr>
                <w:sz w:val="22"/>
                <w:szCs w:val="22"/>
              </w:rPr>
              <w:lastRenderedPageBreak/>
              <w:t>the final acceptance, balance payment will be made in accordance with the executed works.</w:t>
            </w:r>
          </w:p>
        </w:tc>
      </w:tr>
    </w:tbl>
    <w:p w14:paraId="5F88F250" w14:textId="77777777" w:rsidR="001050EE" w:rsidRPr="00116CA6" w:rsidRDefault="001050EE" w:rsidP="00116CA6">
      <w:pPr>
        <w:spacing w:before="240"/>
        <w:ind w:left="1276" w:hanging="1276"/>
        <w:jc w:val="both"/>
        <w:rPr>
          <w:b/>
          <w:szCs w:val="24"/>
        </w:rPr>
      </w:pPr>
      <w:bookmarkStart w:id="26" w:name="_Toc76894443"/>
      <w:r w:rsidRPr="00116CA6">
        <w:rPr>
          <w:b/>
          <w:szCs w:val="24"/>
        </w:rPr>
        <w:lastRenderedPageBreak/>
        <w:t>Article 50</w:t>
      </w:r>
      <w:r w:rsidRPr="00116CA6">
        <w:rPr>
          <w:b/>
          <w:szCs w:val="24"/>
        </w:rPr>
        <w:tab/>
        <w:t>Interim payments</w:t>
      </w:r>
      <w:bookmarkEnd w:id="26"/>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0A00EBD1" w14:textId="77777777" w:rsidR="0083277B" w:rsidRPr="006015D0" w:rsidRDefault="0083277B" w:rsidP="0083277B">
      <w:pPr>
        <w:spacing w:before="240"/>
        <w:ind w:left="1276" w:hanging="1276"/>
        <w:jc w:val="both"/>
        <w:rPr>
          <w:b/>
          <w:szCs w:val="24"/>
        </w:rPr>
      </w:pPr>
      <w:bookmarkStart w:id="27" w:name="_Toc76894448"/>
      <w:r w:rsidRPr="006015D0">
        <w:rPr>
          <w:b/>
          <w:szCs w:val="24"/>
        </w:rPr>
        <w:t>Final statement of account</w:t>
      </w:r>
    </w:p>
    <w:p w14:paraId="60636A65" w14:textId="77777777" w:rsidR="0083277B" w:rsidRDefault="0083277B" w:rsidP="0083277B">
      <w:pPr>
        <w:pStyle w:val="Text1"/>
        <w:ind w:left="1276" w:hanging="709"/>
        <w:rPr>
          <w:snapToGrid/>
          <w:sz w:val="22"/>
          <w:szCs w:val="22"/>
          <w:lang w:eastAsia="en-GB"/>
        </w:rPr>
      </w:pPr>
      <w:r w:rsidRPr="006015D0">
        <w:rPr>
          <w:sz w:val="22"/>
          <w:szCs w:val="22"/>
          <w:lang w:eastAsia="en-GB"/>
        </w:rPr>
        <w:t>51.1</w:t>
      </w:r>
      <w:r w:rsidRPr="006015D0">
        <w:rPr>
          <w:sz w:val="22"/>
          <w:szCs w:val="22"/>
          <w:lang w:eastAsia="en-GB"/>
        </w:rPr>
        <w:tab/>
      </w:r>
      <w:bookmarkStart w:id="28" w:name="_Toc76894445"/>
      <w:r>
        <w:rPr>
          <w:sz w:val="22"/>
          <w:szCs w:val="22"/>
          <w:lang w:eastAsia="en-GB"/>
        </w:rPr>
        <w:t>The Contractor shall, submit to the Supervisor a draft final statement of account when it applies for the acceptance certificate. In order to enable the Supervisor to prepare the final statement of account, the draft final statement of account is submitted with supporting documents showing in detail the value of the work done in accordance with the contract.</w:t>
      </w:r>
    </w:p>
    <w:p w14:paraId="60F58ABE" w14:textId="77777777" w:rsidR="0083277B" w:rsidRDefault="0083277B" w:rsidP="0083277B">
      <w:pPr>
        <w:ind w:left="1276" w:hanging="709"/>
        <w:jc w:val="both"/>
        <w:rPr>
          <w:sz w:val="22"/>
          <w:szCs w:val="22"/>
          <w:lang w:eastAsia="en-GB"/>
        </w:rPr>
      </w:pPr>
      <w:r>
        <w:rPr>
          <w:sz w:val="22"/>
          <w:szCs w:val="22"/>
          <w:lang w:eastAsia="en-GB"/>
        </w:rPr>
        <w:t>51.2</w:t>
      </w:r>
      <w:r>
        <w:rPr>
          <w:sz w:val="22"/>
          <w:szCs w:val="22"/>
          <w:lang w:eastAsia="en-GB"/>
        </w:rPr>
        <w:tab/>
        <w:t>Within 30 days from issuing the certificate of final acceptance referred to in article 62, the Supervisor shall prepare and sign the final statement of account.</w:t>
      </w:r>
    </w:p>
    <w:p w14:paraId="62F44F59" w14:textId="77777777" w:rsidR="0083277B" w:rsidRDefault="0083277B" w:rsidP="0083277B">
      <w:pPr>
        <w:spacing w:before="240"/>
        <w:ind w:left="1276" w:hanging="1276"/>
        <w:jc w:val="both"/>
        <w:rPr>
          <w:b/>
          <w:snapToGrid/>
          <w:szCs w:val="24"/>
        </w:rPr>
      </w:pPr>
      <w:bookmarkStart w:id="29" w:name="_Toc76894446"/>
      <w:bookmarkEnd w:id="28"/>
      <w:r>
        <w:rPr>
          <w:b/>
          <w:szCs w:val="24"/>
        </w:rPr>
        <w:t>Article 57</w:t>
      </w:r>
      <w:r>
        <w:rPr>
          <w:b/>
          <w:szCs w:val="24"/>
        </w:rPr>
        <w:tab/>
        <w:t>General principles</w:t>
      </w:r>
    </w:p>
    <w:p w14:paraId="5194FC6C" w14:textId="77777777" w:rsidR="0083277B" w:rsidRDefault="0083277B" w:rsidP="0083277B">
      <w:pPr>
        <w:spacing w:before="240"/>
        <w:ind w:left="1276"/>
        <w:jc w:val="both"/>
        <w:rPr>
          <w:b/>
          <w:szCs w:val="24"/>
          <w:highlight w:val="lightGray"/>
        </w:rPr>
      </w:pPr>
      <w:bookmarkStart w:id="30" w:name="_Hlk504930386"/>
      <w:r>
        <w:rPr>
          <w:bCs/>
          <w:sz w:val="22"/>
          <w:szCs w:val="22"/>
        </w:rPr>
        <w:t>Provisional acceptance of works shall be considered as final acceptance of works. Acceptance of Works shall be in accordance to the Serbian Law on planning and construction in force.  The final acceptance of works shall be after all works has been completed by the opinion of the Contractor.  The Contractor shall, in written, inform the Supervisor and the Contracting Authority about that all the works by the contract have been finished.  The Contracting Authority shall organize the acceptance of works (“Tehnički prijem objekta”) within 30 days from the Contractor’s application that all the Works has been finished and issue a Certificate on acceptance of Works (“Zapisnik o tehničkom prijemu”), if all the works are truly completed and in accordance with requirements in the Building Permit and the Final Design and this contract.</w:t>
      </w:r>
      <w:bookmarkEnd w:id="30"/>
    </w:p>
    <w:bookmarkEnd w:id="29"/>
    <w:p w14:paraId="25453CDF" w14:textId="2840FAFA" w:rsidR="001050EE" w:rsidRPr="00116CA6" w:rsidRDefault="001050EE" w:rsidP="00CA6498">
      <w:pPr>
        <w:keepNext/>
        <w:spacing w:before="240"/>
        <w:ind w:left="1276" w:hanging="1276"/>
        <w:jc w:val="both"/>
        <w:rPr>
          <w:b/>
          <w:szCs w:val="24"/>
        </w:rPr>
      </w:pPr>
      <w:r w:rsidRPr="00116CA6">
        <w:rPr>
          <w:b/>
          <w:szCs w:val="24"/>
        </w:rPr>
        <w:t>Article 61</w:t>
      </w:r>
      <w:r w:rsidRPr="00116CA6">
        <w:rPr>
          <w:b/>
          <w:szCs w:val="24"/>
        </w:rPr>
        <w:tab/>
        <w:t>Defects liability</w:t>
      </w:r>
      <w:bookmarkEnd w:id="27"/>
    </w:p>
    <w:p w14:paraId="6C3CEE3B" w14:textId="77777777" w:rsidR="00401C44"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3084267B" w14:textId="77777777" w:rsidR="0083277B" w:rsidRDefault="0083277B" w:rsidP="0083277B">
      <w:pPr>
        <w:shd w:val="clear" w:color="auto" w:fill="FFFFFF"/>
        <w:spacing w:before="120" w:after="120"/>
        <w:ind w:left="1276" w:hanging="709"/>
        <w:jc w:val="both"/>
        <w:rPr>
          <w:sz w:val="22"/>
          <w:szCs w:val="22"/>
        </w:rPr>
      </w:pPr>
      <w:r>
        <w:rPr>
          <w:bCs/>
          <w:sz w:val="22"/>
          <w:szCs w:val="22"/>
        </w:rPr>
        <w:t xml:space="preserve">61.6 </w:t>
      </w:r>
      <w:r>
        <w:rPr>
          <w:bCs/>
          <w:sz w:val="22"/>
          <w:szCs w:val="22"/>
        </w:rPr>
        <w:tab/>
        <w:t>T</w:t>
      </w:r>
      <w:r>
        <w:rPr>
          <w:sz w:val="22"/>
          <w:szCs w:val="22"/>
        </w:rPr>
        <w:t>he defects liability work necessitated by normal wear and tear is not obliged to be carried out by the Contractor.</w:t>
      </w:r>
    </w:p>
    <w:p w14:paraId="58C511CD" w14:textId="77777777" w:rsidR="0083277B" w:rsidRPr="005533F8" w:rsidRDefault="0083277B" w:rsidP="0083277B">
      <w:pPr>
        <w:spacing w:after="200"/>
        <w:ind w:left="1276" w:hanging="709"/>
        <w:jc w:val="both"/>
        <w:rPr>
          <w:sz w:val="22"/>
          <w:szCs w:val="22"/>
        </w:rPr>
      </w:pPr>
      <w:r>
        <w:rPr>
          <w:bCs/>
          <w:sz w:val="22"/>
          <w:szCs w:val="22"/>
        </w:rPr>
        <w:t>61.7</w:t>
      </w:r>
      <w:r>
        <w:rPr>
          <w:bCs/>
          <w:sz w:val="22"/>
          <w:szCs w:val="22"/>
        </w:rPr>
        <w:tab/>
      </w:r>
      <w:r w:rsidRPr="0068182C">
        <w:rPr>
          <w:bCs/>
          <w:sz w:val="22"/>
          <w:szCs w:val="22"/>
        </w:rPr>
        <w:t>D</w:t>
      </w:r>
      <w:r w:rsidRPr="0068182C">
        <w:rPr>
          <w:sz w:val="22"/>
          <w:szCs w:val="22"/>
        </w:rPr>
        <w:t xml:space="preserve">uration of the defect’s liability period is 2 years, in accordance to Serbian Rules and Regulations (“Uzanse o građenju”). The Contractor must provide a </w:t>
      </w:r>
      <w:r w:rsidRPr="0015508C">
        <w:rPr>
          <w:b/>
          <w:bCs/>
          <w:sz w:val="22"/>
          <w:szCs w:val="22"/>
        </w:rPr>
        <w:t>Defects Liability bank guarantee or a duly signed and registered  blank own promissory note, in favor of the Contracting authority, with authorization in the amount of 5% of the contracted value</w:t>
      </w:r>
      <w:r w:rsidRPr="0068182C">
        <w:rPr>
          <w:sz w:val="22"/>
          <w:szCs w:val="22"/>
        </w:rPr>
        <w:t xml:space="preserve">, with the clause unconditional and payable on the first call in the name of the elimination of defects in the warranty period to Contracting Authority, in the amount of </w:t>
      </w:r>
      <w:r>
        <w:rPr>
          <w:sz w:val="22"/>
          <w:szCs w:val="22"/>
        </w:rPr>
        <w:t>5</w:t>
      </w:r>
      <w:r w:rsidRPr="0068182C">
        <w:rPr>
          <w:sz w:val="22"/>
          <w:szCs w:val="22"/>
        </w:rPr>
        <w:t>% of the performed works, and with a validity period of 15 days longer than the warranty period.</w:t>
      </w:r>
      <w:r>
        <w:rPr>
          <w:sz w:val="22"/>
          <w:szCs w:val="22"/>
        </w:rPr>
        <w:t xml:space="preserve"> </w:t>
      </w:r>
    </w:p>
    <w:p w14:paraId="788C489D" w14:textId="77777777" w:rsidR="001050EE" w:rsidRPr="00AE4803" w:rsidRDefault="001050EE" w:rsidP="00116CA6">
      <w:pPr>
        <w:spacing w:before="240"/>
        <w:ind w:left="1276" w:hanging="1276"/>
        <w:jc w:val="both"/>
        <w:rPr>
          <w:b/>
          <w:szCs w:val="24"/>
          <w:lang w:val="fr-FR"/>
        </w:rPr>
      </w:pPr>
      <w:bookmarkStart w:id="31" w:name="_Toc76894451"/>
      <w:r w:rsidRPr="00AE4803">
        <w:rPr>
          <w:b/>
          <w:szCs w:val="24"/>
          <w:lang w:val="fr-FR"/>
        </w:rPr>
        <w:t>Article 68</w:t>
      </w:r>
      <w:r w:rsidRPr="00AE4803">
        <w:rPr>
          <w:b/>
          <w:szCs w:val="24"/>
          <w:lang w:val="fr-FR"/>
        </w:rPr>
        <w:tab/>
        <w:t>Dispute settlement</w:t>
      </w:r>
      <w:bookmarkEnd w:id="31"/>
    </w:p>
    <w:p w14:paraId="66F6A761" w14:textId="4D94A308" w:rsidR="00F2670B" w:rsidRPr="00F2670B" w:rsidRDefault="001050EE" w:rsidP="004B0A29">
      <w:pPr>
        <w:autoSpaceDE w:val="0"/>
        <w:autoSpaceDN w:val="0"/>
        <w:adjustRightInd w:val="0"/>
        <w:spacing w:before="120" w:after="120"/>
        <w:ind w:left="1276" w:hanging="709"/>
        <w:jc w:val="both"/>
        <w:rPr>
          <w:sz w:val="22"/>
          <w:szCs w:val="22"/>
          <w:lang w:bidi="kn-IN"/>
        </w:rPr>
      </w:pPr>
      <w:r w:rsidRPr="00AE4803">
        <w:rPr>
          <w:rStyle w:val="DefaultMargins"/>
          <w:rFonts w:ascii="Times New Roman" w:hAnsi="Times New Roman" w:cs="Times New Roman"/>
          <w:bCs/>
          <w:spacing w:val="-3"/>
          <w:sz w:val="22"/>
          <w:szCs w:val="22"/>
          <w:lang w:val="fr-FR"/>
        </w:rPr>
        <w:t>68.4</w:t>
      </w:r>
      <w:r w:rsidRPr="00AE4803">
        <w:rPr>
          <w:rStyle w:val="DefaultMargins"/>
          <w:rFonts w:ascii="Times New Roman" w:hAnsi="Times New Roman" w:cs="Times New Roman"/>
          <w:spacing w:val="-3"/>
          <w:sz w:val="22"/>
          <w:szCs w:val="22"/>
          <w:lang w:val="fr-FR"/>
        </w:rPr>
        <w:tab/>
      </w:r>
      <w:r w:rsidR="004B0A29" w:rsidRPr="004B0A29">
        <w:rPr>
          <w:rStyle w:val="DefaultMargins"/>
          <w:rFonts w:ascii="Times New Roman" w:hAnsi="Times New Roman" w:cs="Times New Roman"/>
          <w:spacing w:val="-3"/>
          <w:sz w:val="22"/>
          <w:szCs w:val="22"/>
          <w:lang w:val="fr-FR"/>
        </w:rPr>
        <w:t>Any dispute arising out of or relating to this Contract which cannot be settled otherwise shall be referred to the exclusive jurisdiction of Commercial Court Zajecar (“Privredni Sud u Zaječaru”) applying the national legislation of the Contracting Authority.</w:t>
      </w:r>
    </w:p>
    <w:p w14:paraId="47E8CA21" w14:textId="77777777" w:rsidR="004B0A29" w:rsidRDefault="004B0A29">
      <w:pPr>
        <w:spacing w:after="120"/>
        <w:ind w:left="567" w:hanging="567"/>
        <w:rPr>
          <w:b/>
          <w:szCs w:val="24"/>
        </w:rPr>
      </w:pPr>
    </w:p>
    <w:p w14:paraId="0F162207" w14:textId="5A3F428C" w:rsidR="004321C9" w:rsidRPr="00515888" w:rsidRDefault="004321C9">
      <w:pPr>
        <w:spacing w:after="120"/>
        <w:ind w:left="567" w:hanging="567"/>
        <w:rPr>
          <w:b/>
          <w:szCs w:val="24"/>
        </w:rPr>
      </w:pPr>
      <w:r w:rsidRPr="00515888">
        <w:rPr>
          <w:b/>
          <w:szCs w:val="24"/>
        </w:rPr>
        <w:t>Article 72</w:t>
      </w:r>
      <w:r w:rsidRPr="00515888">
        <w:rPr>
          <w:b/>
          <w:szCs w:val="24"/>
        </w:rPr>
        <w:tab/>
        <w:t xml:space="preserve">Data </w:t>
      </w:r>
      <w:r w:rsidR="00B6292A" w:rsidRPr="00515888">
        <w:rPr>
          <w:b/>
          <w:szCs w:val="24"/>
        </w:rPr>
        <w:t>p</w:t>
      </w:r>
      <w:r w:rsidRPr="00515888">
        <w:rPr>
          <w:b/>
          <w:szCs w:val="24"/>
        </w:rPr>
        <w:t>rotection</w:t>
      </w:r>
    </w:p>
    <w:p w14:paraId="067D09B3" w14:textId="0AD53E7D" w:rsidR="00127C86" w:rsidRPr="004B0A29" w:rsidRDefault="00127C86" w:rsidP="004C6937">
      <w:pPr>
        <w:jc w:val="both"/>
        <w:rPr>
          <w:sz w:val="22"/>
          <w:szCs w:val="22"/>
        </w:rPr>
      </w:pPr>
      <w:r w:rsidRPr="004B0A29">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835CA00" w14:textId="6653CC49" w:rsidR="007953B7" w:rsidRPr="004B0A29" w:rsidRDefault="00127C86" w:rsidP="00515888">
      <w:pPr>
        <w:jc w:val="both"/>
        <w:rPr>
          <w:sz w:val="22"/>
          <w:szCs w:val="22"/>
        </w:rPr>
      </w:pPr>
      <w:r w:rsidRPr="004B0A29">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B0A29">
        <w:rPr>
          <w:rStyle w:val="FootnoteReference"/>
          <w:sz w:val="22"/>
          <w:szCs w:val="22"/>
        </w:rPr>
        <w:footnoteReference w:id="1"/>
      </w:r>
      <w:r w:rsidRPr="004B0A29">
        <w:rPr>
          <w:sz w:val="22"/>
          <w:szCs w:val="22"/>
        </w:rPr>
        <w:t xml:space="preserve"> and as detailed in the specific privacy statement published at ePRAG.</w:t>
      </w:r>
      <w:bookmarkStart w:id="32" w:name="_Toc76894456"/>
    </w:p>
    <w:bookmarkEnd w:id="32"/>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A399B" w14:textId="77777777" w:rsidR="00A70A6F" w:rsidRPr="00E725FE" w:rsidRDefault="00A70A6F">
      <w:r w:rsidRPr="00E725FE">
        <w:separator/>
      </w:r>
    </w:p>
  </w:endnote>
  <w:endnote w:type="continuationSeparator" w:id="0">
    <w:p w14:paraId="6B33D556" w14:textId="77777777" w:rsidR="00A70A6F" w:rsidRPr="00E725FE" w:rsidRDefault="00A70A6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0D6F" w14:textId="335542B2"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8123C4">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587F31">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587F31">
      <w:rPr>
        <w:rStyle w:val="PageNumber"/>
        <w:noProof/>
        <w:sz w:val="18"/>
        <w:szCs w:val="18"/>
      </w:rPr>
      <w:t>7</w:t>
    </w:r>
    <w:r w:rsidR="00795633" w:rsidRPr="00B3283E">
      <w:rPr>
        <w:rStyle w:val="PageNumber"/>
        <w:sz w:val="18"/>
        <w:szCs w:val="18"/>
      </w:rPr>
      <w:fldChar w:fldCharType="end"/>
    </w:r>
  </w:p>
  <w:p w14:paraId="58A12A73" w14:textId="274A25D8"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AE34C4">
      <w:rPr>
        <w:noProof/>
        <w:sz w:val="18"/>
        <w:szCs w:val="18"/>
      </w:rPr>
      <w:t>ds4o_specialconditions_simpl_en.docx</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29EB8" w14:textId="77777777" w:rsidR="00A70A6F" w:rsidRPr="00E725FE" w:rsidRDefault="00A70A6F">
      <w:r w:rsidRPr="00E725FE">
        <w:separator/>
      </w:r>
    </w:p>
  </w:footnote>
  <w:footnote w:type="continuationSeparator" w:id="0">
    <w:p w14:paraId="659766F2" w14:textId="77777777" w:rsidR="00A70A6F" w:rsidRPr="00E725FE" w:rsidRDefault="00A70A6F">
      <w:r w:rsidRPr="00E725FE">
        <w:continuationSeparator/>
      </w:r>
    </w:p>
  </w:footnote>
  <w:footnote w:id="1">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DEF7159"/>
    <w:multiLevelType w:val="hybridMultilevel"/>
    <w:tmpl w:val="54720A54"/>
    <w:lvl w:ilvl="0" w:tplc="B0D2D488">
      <w:start w:val="2"/>
      <w:numFmt w:val="lowerLetter"/>
      <w:lvlText w:val="(%1)"/>
      <w:lvlJc w:val="left"/>
      <w:pPr>
        <w:ind w:left="1080" w:hanging="360"/>
      </w:pPr>
      <w:rPr>
        <w:rFonts w:hint="default"/>
        <w:color w:val="auto"/>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1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1D7248"/>
    <w:multiLevelType w:val="hybridMultilevel"/>
    <w:tmpl w:val="F15C07BC"/>
    <w:lvl w:ilvl="0" w:tplc="5E8C885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2062943936">
    <w:abstractNumId w:val="13"/>
  </w:num>
  <w:num w:numId="2" w16cid:durableId="1358972458">
    <w:abstractNumId w:val="7"/>
  </w:num>
  <w:num w:numId="3" w16cid:durableId="205799569">
    <w:abstractNumId w:val="8"/>
  </w:num>
  <w:num w:numId="4" w16cid:durableId="1786272080">
    <w:abstractNumId w:val="0"/>
  </w:num>
  <w:num w:numId="5" w16cid:durableId="787117885">
    <w:abstractNumId w:val="10"/>
    <w:lvlOverride w:ilvl="0">
      <w:startOverride w:val="1"/>
    </w:lvlOverride>
  </w:num>
  <w:num w:numId="6" w16cid:durableId="131487092">
    <w:abstractNumId w:val="3"/>
  </w:num>
  <w:num w:numId="7" w16cid:durableId="1134525293">
    <w:abstractNumId w:val="9"/>
  </w:num>
  <w:num w:numId="8" w16cid:durableId="1419476347">
    <w:abstractNumId w:val="6"/>
  </w:num>
  <w:num w:numId="9" w16cid:durableId="1479685631">
    <w:abstractNumId w:val="1"/>
  </w:num>
  <w:num w:numId="10" w16cid:durableId="316374953">
    <w:abstractNumId w:val="12"/>
  </w:num>
  <w:num w:numId="11" w16cid:durableId="2034069353">
    <w:abstractNumId w:val="11"/>
  </w:num>
  <w:num w:numId="12" w16cid:durableId="1579942371">
    <w:abstractNumId w:val="4"/>
  </w:num>
  <w:num w:numId="13" w16cid:durableId="2053193397">
    <w:abstractNumId w:val="2"/>
  </w:num>
  <w:num w:numId="14" w16cid:durableId="1835218269">
    <w:abstractNumId w:val="15"/>
  </w:num>
  <w:num w:numId="15" w16cid:durableId="32079086">
    <w:abstractNumId w:val="14"/>
  </w:num>
  <w:num w:numId="16" w16cid:durableId="9721018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16716"/>
    <w:rsid w:val="00020A5B"/>
    <w:rsid w:val="00021EB3"/>
    <w:rsid w:val="00027B8A"/>
    <w:rsid w:val="00030A2D"/>
    <w:rsid w:val="00031E63"/>
    <w:rsid w:val="0003690E"/>
    <w:rsid w:val="000371F1"/>
    <w:rsid w:val="00040305"/>
    <w:rsid w:val="0004235A"/>
    <w:rsid w:val="000435A0"/>
    <w:rsid w:val="0005004B"/>
    <w:rsid w:val="000519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873"/>
    <w:rsid w:val="00114F35"/>
    <w:rsid w:val="00115C27"/>
    <w:rsid w:val="00116CA6"/>
    <w:rsid w:val="0011710F"/>
    <w:rsid w:val="0012355E"/>
    <w:rsid w:val="00127C86"/>
    <w:rsid w:val="001466DD"/>
    <w:rsid w:val="0015508C"/>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319E"/>
    <w:rsid w:val="001F48E9"/>
    <w:rsid w:val="001F5A95"/>
    <w:rsid w:val="001F61FC"/>
    <w:rsid w:val="001F659D"/>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2F4"/>
    <w:rsid w:val="00270B92"/>
    <w:rsid w:val="00271353"/>
    <w:rsid w:val="00286A23"/>
    <w:rsid w:val="00294FAC"/>
    <w:rsid w:val="00295092"/>
    <w:rsid w:val="002B0018"/>
    <w:rsid w:val="002B13F4"/>
    <w:rsid w:val="002B7A05"/>
    <w:rsid w:val="002C4845"/>
    <w:rsid w:val="002D0A12"/>
    <w:rsid w:val="002D0B03"/>
    <w:rsid w:val="002D294D"/>
    <w:rsid w:val="002D2BD5"/>
    <w:rsid w:val="002D7495"/>
    <w:rsid w:val="002D75A2"/>
    <w:rsid w:val="002E58FA"/>
    <w:rsid w:val="002F6D2E"/>
    <w:rsid w:val="003001D9"/>
    <w:rsid w:val="00301DE9"/>
    <w:rsid w:val="00305BE7"/>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56C52"/>
    <w:rsid w:val="00462214"/>
    <w:rsid w:val="004626CD"/>
    <w:rsid w:val="00465174"/>
    <w:rsid w:val="004670EF"/>
    <w:rsid w:val="004715EC"/>
    <w:rsid w:val="00473676"/>
    <w:rsid w:val="00473FEE"/>
    <w:rsid w:val="004750B6"/>
    <w:rsid w:val="00477F67"/>
    <w:rsid w:val="004805F2"/>
    <w:rsid w:val="00480E3B"/>
    <w:rsid w:val="004842DD"/>
    <w:rsid w:val="00485048"/>
    <w:rsid w:val="0048680A"/>
    <w:rsid w:val="0049139F"/>
    <w:rsid w:val="00494A0D"/>
    <w:rsid w:val="004A2BDD"/>
    <w:rsid w:val="004B0A29"/>
    <w:rsid w:val="004B33AB"/>
    <w:rsid w:val="004C0B83"/>
    <w:rsid w:val="004C192E"/>
    <w:rsid w:val="004C6937"/>
    <w:rsid w:val="004D61E0"/>
    <w:rsid w:val="004D6FB2"/>
    <w:rsid w:val="004D7BC3"/>
    <w:rsid w:val="004E0E24"/>
    <w:rsid w:val="004E52DB"/>
    <w:rsid w:val="004F3026"/>
    <w:rsid w:val="004F5CBC"/>
    <w:rsid w:val="004F7629"/>
    <w:rsid w:val="00501651"/>
    <w:rsid w:val="0051365E"/>
    <w:rsid w:val="00515888"/>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1F04"/>
    <w:rsid w:val="005625FF"/>
    <w:rsid w:val="005637E1"/>
    <w:rsid w:val="00567851"/>
    <w:rsid w:val="005678C2"/>
    <w:rsid w:val="0057272D"/>
    <w:rsid w:val="0057733F"/>
    <w:rsid w:val="0057760F"/>
    <w:rsid w:val="005803EF"/>
    <w:rsid w:val="0058254C"/>
    <w:rsid w:val="00582940"/>
    <w:rsid w:val="0058307D"/>
    <w:rsid w:val="00583671"/>
    <w:rsid w:val="00586A41"/>
    <w:rsid w:val="00587F31"/>
    <w:rsid w:val="00587FF6"/>
    <w:rsid w:val="00591722"/>
    <w:rsid w:val="0059510B"/>
    <w:rsid w:val="005967FA"/>
    <w:rsid w:val="00596E41"/>
    <w:rsid w:val="005A2150"/>
    <w:rsid w:val="005A3B22"/>
    <w:rsid w:val="005A5203"/>
    <w:rsid w:val="005B0B44"/>
    <w:rsid w:val="005B4F79"/>
    <w:rsid w:val="005B5F79"/>
    <w:rsid w:val="005C742C"/>
    <w:rsid w:val="005D4099"/>
    <w:rsid w:val="005D499E"/>
    <w:rsid w:val="005D5879"/>
    <w:rsid w:val="005E2012"/>
    <w:rsid w:val="005E22D4"/>
    <w:rsid w:val="005E355B"/>
    <w:rsid w:val="005E44FF"/>
    <w:rsid w:val="005F28A0"/>
    <w:rsid w:val="0060345E"/>
    <w:rsid w:val="00607379"/>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0B3"/>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56CB4"/>
    <w:rsid w:val="00761068"/>
    <w:rsid w:val="00771C02"/>
    <w:rsid w:val="00772C2A"/>
    <w:rsid w:val="007731CA"/>
    <w:rsid w:val="00773DB5"/>
    <w:rsid w:val="0077476F"/>
    <w:rsid w:val="00780E05"/>
    <w:rsid w:val="00781A3D"/>
    <w:rsid w:val="00785513"/>
    <w:rsid w:val="0078718E"/>
    <w:rsid w:val="00790496"/>
    <w:rsid w:val="007953B7"/>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23C4"/>
    <w:rsid w:val="00817365"/>
    <w:rsid w:val="008206C3"/>
    <w:rsid w:val="00821569"/>
    <w:rsid w:val="00822BE8"/>
    <w:rsid w:val="00825FF4"/>
    <w:rsid w:val="00830A6F"/>
    <w:rsid w:val="0083277B"/>
    <w:rsid w:val="00832B21"/>
    <w:rsid w:val="008338B0"/>
    <w:rsid w:val="00851D16"/>
    <w:rsid w:val="00852024"/>
    <w:rsid w:val="0085750B"/>
    <w:rsid w:val="00857577"/>
    <w:rsid w:val="0085796F"/>
    <w:rsid w:val="008644CF"/>
    <w:rsid w:val="00865463"/>
    <w:rsid w:val="00866754"/>
    <w:rsid w:val="0086700B"/>
    <w:rsid w:val="008674B2"/>
    <w:rsid w:val="0087152F"/>
    <w:rsid w:val="00872A2E"/>
    <w:rsid w:val="008733EA"/>
    <w:rsid w:val="00880541"/>
    <w:rsid w:val="008824C1"/>
    <w:rsid w:val="00887649"/>
    <w:rsid w:val="0089009D"/>
    <w:rsid w:val="008A14EE"/>
    <w:rsid w:val="008A24D8"/>
    <w:rsid w:val="008A27FD"/>
    <w:rsid w:val="008A3E96"/>
    <w:rsid w:val="008B2A73"/>
    <w:rsid w:val="008B3EEE"/>
    <w:rsid w:val="008B623E"/>
    <w:rsid w:val="008B7FF3"/>
    <w:rsid w:val="008C3721"/>
    <w:rsid w:val="008C4EA4"/>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402E"/>
    <w:rsid w:val="009455FD"/>
    <w:rsid w:val="009463ED"/>
    <w:rsid w:val="0094728C"/>
    <w:rsid w:val="00951748"/>
    <w:rsid w:val="00956905"/>
    <w:rsid w:val="00960CF6"/>
    <w:rsid w:val="009639E9"/>
    <w:rsid w:val="00966028"/>
    <w:rsid w:val="009706F3"/>
    <w:rsid w:val="00974535"/>
    <w:rsid w:val="00982CD8"/>
    <w:rsid w:val="00986734"/>
    <w:rsid w:val="00990012"/>
    <w:rsid w:val="009935EB"/>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0A6F"/>
    <w:rsid w:val="00A76A96"/>
    <w:rsid w:val="00A77ECC"/>
    <w:rsid w:val="00A81065"/>
    <w:rsid w:val="00A8166C"/>
    <w:rsid w:val="00A96863"/>
    <w:rsid w:val="00A96A4F"/>
    <w:rsid w:val="00AA1F74"/>
    <w:rsid w:val="00AA28A1"/>
    <w:rsid w:val="00AA515C"/>
    <w:rsid w:val="00AC5E4B"/>
    <w:rsid w:val="00AC5EC2"/>
    <w:rsid w:val="00AD2105"/>
    <w:rsid w:val="00AE34C4"/>
    <w:rsid w:val="00AE38F8"/>
    <w:rsid w:val="00AE4803"/>
    <w:rsid w:val="00AE4BF8"/>
    <w:rsid w:val="00AF0195"/>
    <w:rsid w:val="00AF0AE3"/>
    <w:rsid w:val="00AF1588"/>
    <w:rsid w:val="00B00C94"/>
    <w:rsid w:val="00B06F7E"/>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93D"/>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114B"/>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0A7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13F02"/>
    <w:rsid w:val="00D25996"/>
    <w:rsid w:val="00D274C9"/>
    <w:rsid w:val="00D3197A"/>
    <w:rsid w:val="00D31A1E"/>
    <w:rsid w:val="00D33329"/>
    <w:rsid w:val="00D345EC"/>
    <w:rsid w:val="00D45870"/>
    <w:rsid w:val="00D56505"/>
    <w:rsid w:val="00D573DB"/>
    <w:rsid w:val="00D57736"/>
    <w:rsid w:val="00D60BA1"/>
    <w:rsid w:val="00D61604"/>
    <w:rsid w:val="00D63EA6"/>
    <w:rsid w:val="00D66B3B"/>
    <w:rsid w:val="00D6746E"/>
    <w:rsid w:val="00D751B8"/>
    <w:rsid w:val="00D86EEE"/>
    <w:rsid w:val="00D907F8"/>
    <w:rsid w:val="00D91B68"/>
    <w:rsid w:val="00D9227E"/>
    <w:rsid w:val="00D92A0D"/>
    <w:rsid w:val="00D943D4"/>
    <w:rsid w:val="00DA2348"/>
    <w:rsid w:val="00DA616A"/>
    <w:rsid w:val="00DA6FB1"/>
    <w:rsid w:val="00DB2F80"/>
    <w:rsid w:val="00DB3B26"/>
    <w:rsid w:val="00DB51CA"/>
    <w:rsid w:val="00DB5C71"/>
    <w:rsid w:val="00DB787F"/>
    <w:rsid w:val="00DB7E68"/>
    <w:rsid w:val="00DC1AF8"/>
    <w:rsid w:val="00DC3D45"/>
    <w:rsid w:val="00DC3EAE"/>
    <w:rsid w:val="00DC647C"/>
    <w:rsid w:val="00DC6BF0"/>
    <w:rsid w:val="00DD0434"/>
    <w:rsid w:val="00DD5312"/>
    <w:rsid w:val="00DD6FE0"/>
    <w:rsid w:val="00DE0B72"/>
    <w:rsid w:val="00DF10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280C"/>
    <w:rsid w:val="00EA7009"/>
    <w:rsid w:val="00EA756F"/>
    <w:rsid w:val="00EB5A45"/>
    <w:rsid w:val="00EB5D04"/>
    <w:rsid w:val="00EB732C"/>
    <w:rsid w:val="00EC0A31"/>
    <w:rsid w:val="00EC0DA0"/>
    <w:rsid w:val="00EC2C8B"/>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3AAE"/>
    <w:rsid w:val="00F14091"/>
    <w:rsid w:val="00F14148"/>
    <w:rsid w:val="00F15AB8"/>
    <w:rsid w:val="00F15B6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 w:type="paragraph" w:styleId="Revision">
    <w:name w:val="Revision"/>
    <w:hidden/>
    <w:uiPriority w:val="99"/>
    <w:semiHidden/>
    <w:rsid w:val="003001D9"/>
    <w:rPr>
      <w:snapToGrid w:val="0"/>
      <w:sz w:val="24"/>
      <w:lang w:val="en-GB"/>
    </w:rPr>
  </w:style>
  <w:style w:type="paragraph" w:customStyle="1" w:styleId="paragraph">
    <w:name w:val="paragraph"/>
    <w:basedOn w:val="Normal"/>
    <w:rsid w:val="004A2BDD"/>
    <w:pPr>
      <w:spacing w:before="100" w:beforeAutospacing="1" w:after="100" w:afterAutospacing="1"/>
    </w:pPr>
    <w:rPr>
      <w:snapToGrid/>
      <w:szCs w:val="24"/>
      <w:lang w:val="fr-BE" w:eastAsia="fr-BE"/>
    </w:rPr>
  </w:style>
  <w:style w:type="paragraph" w:styleId="ListParagraph">
    <w:name w:val="List Paragraph"/>
    <w:basedOn w:val="Normal"/>
    <w:uiPriority w:val="34"/>
    <w:qFormat/>
    <w:rsid w:val="007953B7"/>
    <w:pPr>
      <w:spacing w:after="200" w:line="276" w:lineRule="auto"/>
      <w:ind w:left="720"/>
      <w:contextualSpacing/>
    </w:pPr>
    <w:rPr>
      <w:rFonts w:ascii="Calibri" w:eastAsia="Calibri" w:hAnsi="Calibri"/>
      <w:snapToGrid/>
      <w:sz w:val="22"/>
      <w:szCs w:val="22"/>
    </w:rPr>
  </w:style>
  <w:style w:type="character" w:customStyle="1" w:styleId="SubtitleChar">
    <w:name w:val="Subtitle Char"/>
    <w:link w:val="Subtitle"/>
    <w:rsid w:val="00DC6BF0"/>
    <w:rPr>
      <w:rFonts w:ascii="Arial" w:hAnsi="Arial"/>
      <w:b/>
      <w:snapToGrid w:val="0"/>
      <w:sz w:val="28"/>
      <w:lang w:val="fr-BE" w:eastAsia="en-US"/>
    </w:rPr>
  </w:style>
  <w:style w:type="character" w:styleId="UnresolvedMention">
    <w:name w:val="Unresolved Mention"/>
    <w:uiPriority w:val="99"/>
    <w:semiHidden/>
    <w:unhideWhenUsed/>
    <w:rsid w:val="00027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josa.simic@knjazevac.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9785F-F9F2-4226-8000-9BAAE26C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3063</Words>
  <Characters>16543</Characters>
  <Application>Microsoft Office Word</Application>
  <DocSecurity>0</DocSecurity>
  <Lines>393</Lines>
  <Paragraphs>215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 Žikić</cp:lastModifiedBy>
  <cp:revision>43</cp:revision>
  <cp:lastPrinted>2014-02-12T13:59:00Z</cp:lastPrinted>
  <dcterms:created xsi:type="dcterms:W3CDTF">2020-04-21T11:47:00Z</dcterms:created>
  <dcterms:modified xsi:type="dcterms:W3CDTF">2025-09-29T13:37:00Z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2023-09-07T11:18:35Z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6563e9f7-14eb-499d-b685-fb65ba2ea0d6</vt:lpwstr>
  </property>
  <property fmtid="{D5CDD505-2E9C-101B-9397-08002B2CF9AE}" pid="8" name="MSIP_Label_6bd9ddd1-4d20-43f6-abfa-fc3c07406f94_ContentBits">
    <vt:lpwstr>0</vt:lpwstr>
  </property>
  <property fmtid="{D5CDD505-2E9C-101B-9397-08002B2CF9AE}" pid="9" name="GrammarlyDocumentId">
    <vt:lpwstr>e8bd8eee-3353-4dee-aeee-0e2ae37242de</vt:lpwstr>
  </property>
</Properties>
</file>